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42CB0" w14:textId="594D9D54" w:rsidR="00E2793C" w:rsidRDefault="00244C63" w:rsidP="00C12D3A">
      <w:r>
        <w:rPr>
          <w:noProof/>
        </w:rPr>
        <mc:AlternateContent>
          <mc:Choice Requires="wps">
            <w:drawing>
              <wp:anchor distT="0" distB="0" distL="114300" distR="114300" simplePos="0" relativeHeight="251658240" behindDoc="0" locked="0" layoutInCell="1" allowOverlap="1" wp14:anchorId="34B95263" wp14:editId="1C0D2855">
                <wp:simplePos x="0" y="0"/>
                <wp:positionH relativeFrom="column">
                  <wp:posOffset>-725557</wp:posOffset>
                </wp:positionH>
                <wp:positionV relativeFrom="paragraph">
                  <wp:posOffset>-1097280</wp:posOffset>
                </wp:positionV>
                <wp:extent cx="7596174" cy="1637969"/>
                <wp:effectExtent l="0" t="0" r="5080" b="0"/>
                <wp:wrapNone/>
                <wp:docPr id="1100359799" name="Rectangle: Diagonal Corners Rounded 6"/>
                <wp:cNvGraphicFramePr/>
                <a:graphic xmlns:a="http://schemas.openxmlformats.org/drawingml/2006/main">
                  <a:graphicData uri="http://schemas.microsoft.com/office/word/2010/wordprocessingShape">
                    <wps:wsp>
                      <wps:cNvSpPr/>
                      <wps:spPr>
                        <a:xfrm>
                          <a:off x="0" y="0"/>
                          <a:ext cx="7596174" cy="1637969"/>
                        </a:xfrm>
                        <a:prstGeom prst="round2DiagRect">
                          <a:avLst>
                            <a:gd name="adj1" fmla="val 7286"/>
                            <a:gd name="adj2" fmla="val 0"/>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04A36A" w14:textId="77777777" w:rsidR="00244C63" w:rsidRPr="00CA005C" w:rsidRDefault="00244C63" w:rsidP="00244C63">
                            <w:pPr>
                              <w:pStyle w:val="IntroTitleCDC"/>
                              <w:spacing w:before="240" w:after="120"/>
                              <w:ind w:left="720"/>
                              <w:rPr>
                                <w:color w:val="FFD094" w:themeColor="accent4" w:themeTint="99"/>
                              </w:rPr>
                            </w:pPr>
                            <w:r w:rsidRPr="00CA005C">
                              <w:rPr>
                                <w:color w:val="FFD094" w:themeColor="accent4" w:themeTint="99"/>
                              </w:rPr>
                              <w:t>National Healthcare Safety Network (NHSN)</w:t>
                            </w:r>
                          </w:p>
                          <w:p w14:paraId="772C9662" w14:textId="71F90AD4" w:rsidR="00244C63" w:rsidRPr="00244C63" w:rsidRDefault="00B45EAD" w:rsidP="00B45EAD">
                            <w:pPr>
                              <w:pStyle w:val="Title"/>
                              <w:spacing w:after="0"/>
                              <w:ind w:left="720"/>
                              <w:rPr>
                                <w:color w:val="FFFFFF" w:themeColor="background1"/>
                              </w:rPr>
                            </w:pPr>
                            <w:r w:rsidRPr="00B45EAD">
                              <w:rPr>
                                <w:color w:val="FFFFFF" w:themeColor="background1"/>
                              </w:rPr>
                              <w:t>AU Option Implementation Data</w:t>
                            </w:r>
                            <w:r w:rsidR="00C90C93">
                              <w:rPr>
                                <w:color w:val="FFFFFF" w:themeColor="background1"/>
                              </w:rPr>
                              <w:t xml:space="preserve"> </w:t>
                            </w:r>
                            <w:r w:rsidRPr="00B45EAD">
                              <w:rPr>
                                <w:color w:val="FFFFFF" w:themeColor="background1"/>
                              </w:rPr>
                              <w:t>Validation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95263" id="Rectangle: Diagonal Corners Rounded 6" o:spid="_x0000_s1026" style="position:absolute;margin-left:-57.15pt;margin-top:-86.4pt;width:598.1pt;height:128.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96174,163796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fqfmgIAAI0FAAAOAAAAZHJzL2Uyb0RvYy54bWysVE1v2zAMvQ/YfxB0X/2xNGmCOkXQosOA&#10;oi3aDj0rshR7kEVNUmJnv36U7DhBW+ww7GJTIvlIPpG8vOoaRXbCuhp0QbOzlBKhOZS13hT0x8vt&#10;lwtKnGe6ZAq0KOheOHq1/PzpsjULkUMFqhSWIIh2i9YUtPLeLJLE8Uo0zJ2BERqVEmzDPB7tJikt&#10;axG9UUmeptOkBVsaC1w4h7c3vZIuI76UgvsHKZ3wRBUUc/Pxa+N3Hb7J8pItNpaZquZDGuwfsmhY&#10;rTHoCHXDPCNbW7+DampuwYH0ZxyaBKSsuYg1YDVZ+qaa54oZEWtBcpwZaXL/D5bf757No0UaWuMW&#10;DsVQRSdtE/6YH+kiWfuRLNF5wvFydj6fZrMJJRx12fTrbD6dBzqTo7uxzn8T0JAgFNTCVpf5Tc02&#10;T/gukS62u3M+8lYSzRpsEFb+zCiRjcJn2DFFZvnFdHilE5P81CS+IoYdwFA6BA7ISoevhttaqT69&#10;cJMcy42S3yvRWz8JSeoSC8xjhrETxbWyBLPB9DgX2me9qmKl6K+z8zQ9pDF6RC6URsCALDH+iD0A&#10;hC5/j91nOdgHVxEbeXRO/5ZY7zx6xMig/ejc1BrsRwAKqxoi9/YHknpqAku+W3doEsQ1lPtHSyz0&#10;E+UMv63xke+Y84/M4tvhsOFa8A/4kQragsIgUVKB/f3RfbDHzkYtJS2OZEHdry2zghL1XWPPz7PJ&#10;JMxwPEzOZzke7KlmfarR2+Ya8MWwmzC7KAZ7rw6itNC84vZYhaioYppj7IJybw+Ha9+vCtw/XKxW&#10;0Qzn1jB/p58ND+CB4NBuL90rs2bodI9Dcg+H8R06syf3aBs8Nay2HmTtg/LI63DAmY89NOynsFRO&#10;z9HquEWXfwAAAP//AwBQSwMEFAAGAAgAAAAhADzLmx7iAAAADQEAAA8AAABkcnMvZG93bnJldi54&#10;bWxMj8FOwzAMhu9IvENkJG5bmgGjK00nqAQ7AgUJcUsb03ZrnK7JtvL2pCd2s+VPv78/XY+mY0cc&#10;XGtJgphHwJAqq1uqJXx+PM9iYM4r0qqzhBJ+0cE6u7xIVaLtid7xWPiahRByiZLQeN8nnLuqQaPc&#10;3PZI4fZjB6N8WIea60GdQrjp+CKKltyolsKHRvWYN1jtioOR8Fqu8r3vXf5UvOw3W9q8lV/ftZTX&#10;V+PjAzCPo/+HYdIP6pAFp9IeSDvWSZgJcXsT2Gm6X4QWExPFYgWslBDfCeBZys9bZH8AAAD//wMA&#10;UEsBAi0AFAAGAAgAAAAhALaDOJL+AAAA4QEAABMAAAAAAAAAAAAAAAAAAAAAAFtDb250ZW50X1R5&#10;cGVzXS54bWxQSwECLQAUAAYACAAAACEAOP0h/9YAAACUAQAACwAAAAAAAAAAAAAAAAAvAQAAX3Jl&#10;bHMvLnJlbHNQSwECLQAUAAYACAAAACEAjSn6n5oCAACNBQAADgAAAAAAAAAAAAAAAAAuAgAAZHJz&#10;L2Uyb0RvYy54bWxQSwECLQAUAAYACAAAACEAPMubHuIAAAANAQAADwAAAAAAAAAAAAAAAAD0BAAA&#10;ZHJzL2Rvd25yZXYueG1sUEsFBgAAAAAEAAQA8wAAAAMGAAAAAA==&#10;" adj="-11796480,,5400" path="m119342,l7596174,r,l7596174,1518627v,65911,-53431,119342,-119342,119342l,1637969r,l,119342c,53431,53431,,119342,xe" fillcolor="#0057b7 [3204]" stroked="f" strokeweight="1.5pt">
                <v:stroke joinstyle="miter"/>
                <v:formulas/>
                <v:path arrowok="t" o:connecttype="custom" o:connectlocs="119342,0;7596174,0;7596174,0;7596174,1518627;7476832,1637969;0,1637969;0,1637969;0,119342;119342,0" o:connectangles="0,0,0,0,0,0,0,0,0" textboxrect="0,0,7596174,1637969"/>
                <v:textbox>
                  <w:txbxContent>
                    <w:p w14:paraId="6604A36A" w14:textId="77777777" w:rsidR="00244C63" w:rsidRPr="00CA005C" w:rsidRDefault="00244C63" w:rsidP="00244C63">
                      <w:pPr>
                        <w:pStyle w:val="IntroTitleCDC"/>
                        <w:spacing w:before="240" w:after="120"/>
                        <w:ind w:left="720"/>
                        <w:rPr>
                          <w:color w:val="FFD094" w:themeColor="accent4" w:themeTint="99"/>
                        </w:rPr>
                      </w:pPr>
                      <w:r w:rsidRPr="00CA005C">
                        <w:rPr>
                          <w:color w:val="FFD094" w:themeColor="accent4" w:themeTint="99"/>
                        </w:rPr>
                        <w:t>National Healthcare Safety Network (NHSN)</w:t>
                      </w:r>
                    </w:p>
                    <w:p w14:paraId="772C9662" w14:textId="71F90AD4" w:rsidR="00244C63" w:rsidRPr="00244C63" w:rsidRDefault="00B45EAD" w:rsidP="00B45EAD">
                      <w:pPr>
                        <w:pStyle w:val="Title"/>
                        <w:spacing w:after="0"/>
                        <w:ind w:left="720"/>
                        <w:rPr>
                          <w:color w:val="FFFFFF" w:themeColor="background1"/>
                        </w:rPr>
                      </w:pPr>
                      <w:r w:rsidRPr="00B45EAD">
                        <w:rPr>
                          <w:color w:val="FFFFFF" w:themeColor="background1"/>
                        </w:rPr>
                        <w:t>AU Option Implementation Data</w:t>
                      </w:r>
                      <w:r w:rsidR="00C90C93">
                        <w:rPr>
                          <w:color w:val="FFFFFF" w:themeColor="background1"/>
                        </w:rPr>
                        <w:t xml:space="preserve"> </w:t>
                      </w:r>
                      <w:r w:rsidRPr="00B45EAD">
                        <w:rPr>
                          <w:color w:val="FFFFFF" w:themeColor="background1"/>
                        </w:rPr>
                        <w:t>Validation</w:t>
                      </w:r>
                    </w:p>
                  </w:txbxContent>
                </v:textbox>
              </v:shape>
            </w:pict>
          </mc:Fallback>
        </mc:AlternateContent>
      </w:r>
    </w:p>
    <w:p w14:paraId="239AFB64" w14:textId="77777777" w:rsidR="00244C63" w:rsidRDefault="00244C63" w:rsidP="00C12D3A">
      <w:pPr>
        <w:pStyle w:val="Heading2"/>
        <w:tabs>
          <w:tab w:val="left" w:pos="6030"/>
        </w:tabs>
        <w:spacing w:before="0" w:after="0"/>
        <w:rPr>
          <w:color w:val="032659" w:themeColor="text2"/>
        </w:rPr>
      </w:pPr>
    </w:p>
    <w:p w14:paraId="67D954F8" w14:textId="10537170" w:rsidR="00B45EAD" w:rsidRPr="00B45EAD" w:rsidRDefault="00B45EAD" w:rsidP="005E5B36">
      <w:pPr>
        <w:spacing w:before="0"/>
      </w:pPr>
      <w:r>
        <w:t>The National Healthcare Safety Network (NHSN) Antimicrobial Use (AU) Option, managed by the Centers for Disease Control and Prevention</w:t>
      </w:r>
      <w:r w:rsidR="00F96FF0">
        <w:t xml:space="preserve"> (CDC)</w:t>
      </w:r>
      <w:r>
        <w:t xml:space="preserve">, is a surveillance module. It receives data extracted from hospital </w:t>
      </w:r>
      <w:r w:rsidRPr="7D64B4C9">
        <w:t>electronic medication administration record (eMAR)</w:t>
      </w:r>
      <w:r w:rsidR="04C64ECF" w:rsidRPr="7D64B4C9">
        <w:t xml:space="preserve"> or</w:t>
      </w:r>
      <w:r w:rsidR="177C6F7F" w:rsidRPr="7D64B4C9">
        <w:t xml:space="preserve"> </w:t>
      </w:r>
      <w:r w:rsidRPr="7D64B4C9">
        <w:t>bar-coding medication administration (BCMA) systems,</w:t>
      </w:r>
      <w:r>
        <w:t xml:space="preserve"> compiled according to the protocol for the </w:t>
      </w:r>
      <w:hyperlink r:id="rId11">
        <w:r w:rsidRPr="006E74DF">
          <w:rPr>
            <w:rStyle w:val="Hyperlink"/>
            <w:color w:val="2A6CA8" w:themeColor="background2" w:themeShade="80"/>
          </w:rPr>
          <w:t>NHSN Antimicrobial Use and Resistance (AUR) Module</w:t>
        </w:r>
      </w:hyperlink>
      <w:r>
        <w:t xml:space="preserve">. To ensure the data submitted to NHSN accurately reflect </w:t>
      </w:r>
      <w:r w:rsidRPr="7D64B4C9">
        <w:t>antimicrobial use (</w:t>
      </w:r>
      <w:r>
        <w:t xml:space="preserve">AU) in the reporting hospitals, the NHSN AUR Team developed this document to assist hospitals in verifying that the data generated by the surveillance software meets the requirements of the NHSN AU Option. This document helps identify potential sources of errors and explores possible solutions. We recommend reviewing the questions and steps outlined in this validation document during the initial implementation for reporting to the NHSN AU Option and whenever your hospital has a change in their commercial software vendor. We expect facilities to use this document internally and do not </w:t>
      </w:r>
      <w:r w:rsidR="001B0CEC">
        <w:t>re</w:t>
      </w:r>
      <w:r w:rsidR="00510BAE">
        <w:t>quire them</w:t>
      </w:r>
      <w:r>
        <w:t xml:space="preserve"> to share the results with NHSN.</w:t>
      </w:r>
    </w:p>
    <w:p w14:paraId="56251667" w14:textId="3E56AD0E" w:rsidR="00B45EAD" w:rsidRPr="00B45EAD" w:rsidRDefault="00B45EAD" w:rsidP="005E5B36">
      <w:pPr>
        <w:spacing w:before="0"/>
      </w:pPr>
      <w:r w:rsidRPr="7D64B4C9">
        <w:t xml:space="preserve">To ensure accurate and reliable reporting of AU data, software vendors must complete a separate validation process using the </w:t>
      </w:r>
      <w:bookmarkStart w:id="0" w:name="_Hlk220413439"/>
      <w:r w:rsidRPr="00B45EAD">
        <w:rPr>
          <w:szCs w:val="22"/>
        </w:rPr>
        <w:fldChar w:fldCharType="begin"/>
      </w:r>
      <w:r w:rsidRPr="00B45EAD">
        <w:rPr>
          <w:szCs w:val="22"/>
        </w:rPr>
        <w:instrText>HYPERLINK "https://www.cdc.gov/nhsn/cdaportal/sds/index.html"</w:instrText>
      </w:r>
      <w:r w:rsidRPr="00B45EAD">
        <w:rPr>
          <w:szCs w:val="22"/>
        </w:rPr>
      </w:r>
      <w:r w:rsidRPr="00B45EAD">
        <w:rPr>
          <w:szCs w:val="22"/>
        </w:rPr>
        <w:fldChar w:fldCharType="separate"/>
      </w:r>
      <w:r w:rsidRPr="006E74DF">
        <w:rPr>
          <w:rStyle w:val="Hyperlink"/>
          <w:color w:val="2A6CA8" w:themeColor="background2" w:themeShade="80"/>
        </w:rPr>
        <w:t>AU Synthetic Data Set (SDS)</w:t>
      </w:r>
      <w:r w:rsidRPr="00B45EAD">
        <w:rPr>
          <w:szCs w:val="22"/>
        </w:rPr>
        <w:fldChar w:fldCharType="end"/>
      </w:r>
      <w:bookmarkEnd w:id="0"/>
      <w:r w:rsidRPr="7D64B4C9">
        <w:t xml:space="preserve">. While this process detects some validation issues, it does not cover all potential </w:t>
      </w:r>
      <w:proofErr w:type="gramStart"/>
      <w:r w:rsidRPr="7D64B4C9">
        <w:t>errors</w:t>
      </w:r>
      <w:r w:rsidR="5FE2E224" w:rsidRPr="7D64B4C9">
        <w:t>—</w:t>
      </w:r>
      <w:proofErr w:type="gramEnd"/>
      <w:r w:rsidRPr="7D64B4C9">
        <w:t>making it critical for facilities to review AU data during implementation. For example, AU SDS will not be able to identify terminology mapping issues which could lead to drug mismatch between the data submitted to the AU Option and your</w:t>
      </w:r>
      <w:r w:rsidRPr="00B45EAD">
        <w:rPr>
          <w:szCs w:val="22"/>
        </w:rPr>
        <w:t xml:space="preserve"> </w:t>
      </w:r>
      <w:r w:rsidRPr="7D64B4C9">
        <w:t xml:space="preserve">eMAR/BCMA system. Facilities </w:t>
      </w:r>
      <w:r w:rsidR="002F2E5A" w:rsidRPr="7D64B4C9">
        <w:t>are encouraged to</w:t>
      </w:r>
      <w:r w:rsidR="00A929D5" w:rsidRPr="7D64B4C9">
        <w:t xml:space="preserve"> complete</w:t>
      </w:r>
      <w:r w:rsidRPr="7D64B4C9">
        <w:t xml:space="preserve"> Section </w:t>
      </w:r>
      <w:r w:rsidR="00A929D5" w:rsidRPr="7D64B4C9">
        <w:t>A</w:t>
      </w:r>
      <w:r w:rsidR="002F2E5A" w:rsidRPr="7D64B4C9">
        <w:t xml:space="preserve"> as an initial step</w:t>
      </w:r>
      <w:r w:rsidRPr="7D64B4C9">
        <w:t xml:space="preserve">. If facilities identify data quality issues </w:t>
      </w:r>
      <w:r w:rsidR="00027EFE" w:rsidRPr="7D64B4C9">
        <w:t xml:space="preserve">in </w:t>
      </w:r>
      <w:r w:rsidRPr="7D64B4C9">
        <w:t xml:space="preserve">Section </w:t>
      </w:r>
      <w:r w:rsidR="00C31A64" w:rsidRPr="7D64B4C9">
        <w:t>A</w:t>
      </w:r>
      <w:r w:rsidRPr="7D64B4C9">
        <w:t xml:space="preserve">, we recommend completing Sections </w:t>
      </w:r>
      <w:r w:rsidR="00C31A64" w:rsidRPr="7D64B4C9">
        <w:t>B</w:t>
      </w:r>
      <w:r w:rsidRPr="7D64B4C9">
        <w:t xml:space="preserve"> and </w:t>
      </w:r>
      <w:r w:rsidR="00C31A64" w:rsidRPr="7D64B4C9">
        <w:t>C</w:t>
      </w:r>
      <w:r w:rsidRPr="7D64B4C9">
        <w:t xml:space="preserve"> to identify the source of the issues. Please refer to the </w:t>
      </w:r>
      <w:hyperlink r:id="rId12" w:history="1">
        <w:r w:rsidRPr="006E74DF">
          <w:rPr>
            <w:rStyle w:val="Hyperlink"/>
            <w:color w:val="2A6CA8" w:themeColor="background2" w:themeShade="80"/>
          </w:rPr>
          <w:t>NHSN AUR Module Protocol</w:t>
        </w:r>
      </w:hyperlink>
      <w:r w:rsidRPr="7D64B4C9">
        <w:t xml:space="preserve"> for a review of applicable definitions. Facilities that completed implementation validation and actively report AU Option data to NHSN (the</w:t>
      </w:r>
      <w:r w:rsidR="007A1413">
        <w:t xml:space="preserve"> </w:t>
      </w:r>
      <w:r w:rsidRPr="7D64B4C9">
        <w:t xml:space="preserve">“maintenance” phase of AU reporting) or those with extremely high or low Standardized Antimicrobial Administration Ratio (SAAR) values should use the separate, more focused </w:t>
      </w:r>
      <w:hyperlink r:id="rId13" w:history="1">
        <w:r w:rsidRPr="006E74DF">
          <w:rPr>
            <w:rStyle w:val="Hyperlink"/>
            <w:color w:val="2A6CA8" w:themeColor="background2" w:themeShade="80"/>
          </w:rPr>
          <w:t>Annual AU Option Data Validation Protocol</w:t>
        </w:r>
      </w:hyperlink>
      <w:r w:rsidRPr="7D64B4C9">
        <w:t xml:space="preserve">. Facilities interested in validating Antimicrobial Resistance (AR) Option data can refer to the </w:t>
      </w:r>
      <w:hyperlink r:id="rId14" w:history="1">
        <w:r w:rsidRPr="006E74DF">
          <w:rPr>
            <w:rStyle w:val="Hyperlink"/>
            <w:color w:val="2A6CA8" w:themeColor="background2" w:themeShade="80"/>
          </w:rPr>
          <w:t>AR Option Data Validation Protocol</w:t>
        </w:r>
      </w:hyperlink>
      <w:r w:rsidRPr="00B45EAD">
        <w:rPr>
          <w:szCs w:val="22"/>
        </w:rPr>
        <w:t>.</w:t>
      </w:r>
    </w:p>
    <w:p w14:paraId="2E7311AD" w14:textId="77777777" w:rsidR="00B45EAD" w:rsidRDefault="00B45EAD" w:rsidP="00C12D3A">
      <w:pPr>
        <w:spacing w:before="0" w:after="0" w:line="240" w:lineRule="auto"/>
        <w:rPr>
          <w:rFonts w:cstheme="majorBidi"/>
          <w:b/>
          <w:color w:val="004050" w:themeColor="accent2" w:themeShade="80"/>
          <w:sz w:val="30"/>
          <w:szCs w:val="32"/>
        </w:rPr>
      </w:pPr>
      <w:r>
        <w:rPr>
          <w:rFonts w:cstheme="majorBidi"/>
          <w:b/>
          <w:color w:val="004050" w:themeColor="accent2" w:themeShade="80"/>
          <w:sz w:val="30"/>
          <w:szCs w:val="32"/>
        </w:rPr>
        <w:br w:type="page"/>
      </w:r>
    </w:p>
    <w:p w14:paraId="638F32FB" w14:textId="07A3B568" w:rsidR="00B45EAD" w:rsidRDefault="00B45EAD" w:rsidP="00C12D3A">
      <w:pPr>
        <w:spacing w:before="0" w:after="0" w:line="240" w:lineRule="auto"/>
        <w:rPr>
          <w:rFonts w:cstheme="majorBidi"/>
          <w:b/>
          <w:color w:val="004050" w:themeColor="accent2" w:themeShade="80"/>
          <w:sz w:val="30"/>
          <w:szCs w:val="32"/>
        </w:rPr>
      </w:pPr>
      <w:r w:rsidRPr="00B45EAD">
        <w:rPr>
          <w:rFonts w:cstheme="majorBidi"/>
          <w:b/>
          <w:color w:val="004050" w:themeColor="accent2" w:themeShade="80"/>
          <w:sz w:val="30"/>
          <w:szCs w:val="32"/>
        </w:rPr>
        <w:lastRenderedPageBreak/>
        <w:t>Validation Checklist</w:t>
      </w:r>
    </w:p>
    <w:p w14:paraId="322AD1BB" w14:textId="77777777" w:rsidR="007E299F" w:rsidRPr="007E299F" w:rsidRDefault="007E299F" w:rsidP="00C12D3A">
      <w:pPr>
        <w:spacing w:before="0" w:after="0" w:line="240" w:lineRule="auto"/>
        <w:rPr>
          <w:rFonts w:cstheme="majorBidi"/>
          <w:b/>
          <w:color w:val="004050" w:themeColor="accent2" w:themeShade="80"/>
          <w:szCs w:val="22"/>
        </w:rPr>
      </w:pPr>
    </w:p>
    <w:tbl>
      <w:tblPr>
        <w:tblStyle w:val="TableGrid"/>
        <w:tblW w:w="0" w:type="auto"/>
        <w:tblLayout w:type="fixed"/>
        <w:tblLook w:val="04A0" w:firstRow="1" w:lastRow="0" w:firstColumn="1" w:lastColumn="0" w:noHBand="0" w:noVBand="1"/>
        <w:tblCaption w:val="Validation Checklist"/>
        <w:tblDescription w:val="table"/>
      </w:tblPr>
      <w:tblGrid>
        <w:gridCol w:w="7488"/>
        <w:gridCol w:w="1404"/>
        <w:gridCol w:w="1093"/>
      </w:tblGrid>
      <w:tr w:rsidR="00B45EAD" w:rsidRPr="00B45EAD" w14:paraId="6331A0AE" w14:textId="77777777" w:rsidTr="00B70C63">
        <w:trPr>
          <w:tblHeader/>
        </w:trPr>
        <w:tc>
          <w:tcPr>
            <w:tcW w:w="7488" w:type="dxa"/>
            <w:shd w:val="clear" w:color="auto" w:fill="A6A6A6" w:themeFill="background1" w:themeFillShade="A6"/>
          </w:tcPr>
          <w:p w14:paraId="34E29F8F" w14:textId="77777777" w:rsidR="00B45EAD" w:rsidRPr="00B45EAD" w:rsidRDefault="00B45EAD" w:rsidP="00C12D3A">
            <w:pPr>
              <w:spacing w:before="0" w:after="0" w:line="240" w:lineRule="auto"/>
            </w:pPr>
          </w:p>
        </w:tc>
        <w:tc>
          <w:tcPr>
            <w:tcW w:w="1404" w:type="dxa"/>
            <w:shd w:val="clear" w:color="auto" w:fill="A6A6A6" w:themeFill="background1" w:themeFillShade="A6"/>
          </w:tcPr>
          <w:p w14:paraId="750FFF19" w14:textId="77777777" w:rsidR="00B45EAD" w:rsidRPr="00B45EAD" w:rsidRDefault="00B45EAD" w:rsidP="00C12D3A">
            <w:pPr>
              <w:spacing w:before="0" w:after="0" w:line="240" w:lineRule="auto"/>
              <w:rPr>
                <w:b/>
              </w:rPr>
            </w:pPr>
            <w:r w:rsidRPr="00B45EAD">
              <w:rPr>
                <w:b/>
              </w:rPr>
              <w:t>Complete</w:t>
            </w:r>
          </w:p>
        </w:tc>
        <w:tc>
          <w:tcPr>
            <w:tcW w:w="1093" w:type="dxa"/>
            <w:shd w:val="clear" w:color="auto" w:fill="A6A6A6" w:themeFill="background1" w:themeFillShade="A6"/>
          </w:tcPr>
          <w:p w14:paraId="01BA4D3C" w14:textId="78E0A142" w:rsidR="00B45EAD" w:rsidRPr="00B45EAD" w:rsidRDefault="00B45EAD" w:rsidP="00C12D3A">
            <w:pPr>
              <w:spacing w:before="0" w:after="0" w:line="240" w:lineRule="auto"/>
              <w:rPr>
                <w:b/>
              </w:rPr>
            </w:pPr>
            <w:r w:rsidRPr="00B45EAD">
              <w:rPr>
                <w:b/>
              </w:rPr>
              <w:t>Page</w:t>
            </w:r>
          </w:p>
        </w:tc>
      </w:tr>
      <w:tr w:rsidR="00C25097" w:rsidRPr="00B45EAD" w14:paraId="45530EDB" w14:textId="77777777" w:rsidTr="00B70C63">
        <w:trPr>
          <w:tblHeader/>
        </w:trPr>
        <w:tc>
          <w:tcPr>
            <w:tcW w:w="7488" w:type="dxa"/>
            <w:shd w:val="clear" w:color="auto" w:fill="D9D9D9" w:themeFill="background1" w:themeFillShade="D9"/>
          </w:tcPr>
          <w:p w14:paraId="67B7CC12" w14:textId="43F904B5" w:rsidR="00C25097" w:rsidRPr="00B45EAD" w:rsidRDefault="00C25097" w:rsidP="00C12D3A">
            <w:pPr>
              <w:spacing w:before="0" w:after="0" w:line="240" w:lineRule="auto"/>
            </w:pPr>
            <w:r w:rsidRPr="00B45EAD">
              <w:rPr>
                <w:b/>
              </w:rPr>
              <w:t xml:space="preserve">Section </w:t>
            </w:r>
            <w:r>
              <w:rPr>
                <w:b/>
              </w:rPr>
              <w:t>A</w:t>
            </w:r>
            <w:r w:rsidRPr="00B45EAD">
              <w:rPr>
                <w:b/>
              </w:rPr>
              <w:t>: Spot Check Data Submitted to NHSN</w:t>
            </w:r>
          </w:p>
        </w:tc>
        <w:sdt>
          <w:sdtPr>
            <w:id w:val="-1074044977"/>
            <w14:checkbox>
              <w14:checked w14:val="0"/>
              <w14:checkedState w14:val="2612" w14:font="MS Gothic"/>
              <w14:uncheckedState w14:val="2610" w14:font="MS Gothic"/>
            </w14:checkbox>
          </w:sdtPr>
          <w:sdtEndPr/>
          <w:sdtContent>
            <w:tc>
              <w:tcPr>
                <w:tcW w:w="1404" w:type="dxa"/>
              </w:tcPr>
              <w:p w14:paraId="111CB844" w14:textId="680D6C1B" w:rsidR="00C25097" w:rsidRPr="00B45EAD" w:rsidRDefault="00C25097" w:rsidP="00C12D3A">
                <w:pPr>
                  <w:spacing w:before="0" w:after="0" w:line="240" w:lineRule="auto"/>
                  <w:rPr>
                    <w:b/>
                  </w:rPr>
                </w:pPr>
                <w:r w:rsidRPr="00B45EAD">
                  <w:rPr>
                    <w:rFonts w:ascii="Segoe UI Symbol" w:hAnsi="Segoe UI Symbol" w:cs="Segoe UI Symbol"/>
                  </w:rPr>
                  <w:t>☐</w:t>
                </w:r>
              </w:p>
            </w:tc>
          </w:sdtContent>
        </w:sdt>
        <w:tc>
          <w:tcPr>
            <w:tcW w:w="1093" w:type="dxa"/>
          </w:tcPr>
          <w:p w14:paraId="15D5C77F" w14:textId="0391353A" w:rsidR="00C25097" w:rsidRPr="006941F3" w:rsidRDefault="008B1AF6" w:rsidP="00C12D3A">
            <w:pPr>
              <w:spacing w:before="0" w:after="0" w:line="240" w:lineRule="auto"/>
              <w:rPr>
                <w:bCs/>
              </w:rPr>
            </w:pPr>
            <w:hyperlink w:anchor="_Section_A._Spot" w:history="1">
              <w:r w:rsidRPr="006E74DF">
                <w:rPr>
                  <w:rStyle w:val="Hyperlink"/>
                  <w:bCs/>
                  <w:color w:val="2A6CA8" w:themeColor="background2" w:themeShade="80"/>
                </w:rPr>
                <w:t>3</w:t>
              </w:r>
            </w:hyperlink>
          </w:p>
        </w:tc>
      </w:tr>
      <w:tr w:rsidR="00C25097" w:rsidRPr="00B45EAD" w14:paraId="31668CBF" w14:textId="77777777" w:rsidTr="00B70C63">
        <w:trPr>
          <w:tblHeader/>
        </w:trPr>
        <w:tc>
          <w:tcPr>
            <w:tcW w:w="7488" w:type="dxa"/>
          </w:tcPr>
          <w:p w14:paraId="37C908AC" w14:textId="2452AF09" w:rsidR="00C25097" w:rsidRPr="00B45EAD" w:rsidRDefault="00C25097" w:rsidP="00C12D3A">
            <w:pPr>
              <w:spacing w:before="0" w:after="0" w:line="240" w:lineRule="auto"/>
            </w:pPr>
            <w:r w:rsidRPr="00B45EAD">
              <w:t>Use the AU Option Data Quality Line List within NHSN</w:t>
            </w:r>
          </w:p>
        </w:tc>
        <w:sdt>
          <w:sdtPr>
            <w:id w:val="639848847"/>
            <w14:checkbox>
              <w14:checked w14:val="0"/>
              <w14:checkedState w14:val="2612" w14:font="MS Gothic"/>
              <w14:uncheckedState w14:val="2610" w14:font="MS Gothic"/>
            </w14:checkbox>
          </w:sdtPr>
          <w:sdtEndPr/>
          <w:sdtContent>
            <w:tc>
              <w:tcPr>
                <w:tcW w:w="1404" w:type="dxa"/>
              </w:tcPr>
              <w:p w14:paraId="365E89E6" w14:textId="1A325D5E" w:rsidR="00C25097" w:rsidRPr="00B45EAD" w:rsidRDefault="00C25097" w:rsidP="00C12D3A">
                <w:pPr>
                  <w:spacing w:before="0" w:after="0" w:line="240" w:lineRule="auto"/>
                  <w:rPr>
                    <w:b/>
                  </w:rPr>
                </w:pPr>
                <w:r w:rsidRPr="00B45EAD">
                  <w:rPr>
                    <w:rFonts w:ascii="Segoe UI Symbol" w:hAnsi="Segoe UI Symbol" w:cs="Segoe UI Symbol"/>
                  </w:rPr>
                  <w:t>☐</w:t>
                </w:r>
              </w:p>
            </w:tc>
          </w:sdtContent>
        </w:sdt>
        <w:tc>
          <w:tcPr>
            <w:tcW w:w="1093" w:type="dxa"/>
          </w:tcPr>
          <w:p w14:paraId="63DD071B" w14:textId="76E5DAF9" w:rsidR="00C25097" w:rsidRPr="006941F3" w:rsidRDefault="008B1AF6" w:rsidP="00C12D3A">
            <w:pPr>
              <w:spacing w:before="0" w:after="0" w:line="240" w:lineRule="auto"/>
              <w:rPr>
                <w:bCs/>
              </w:rPr>
            </w:pPr>
            <w:hyperlink w:anchor="_1._Use_the" w:history="1">
              <w:r w:rsidRPr="006E74DF">
                <w:rPr>
                  <w:rStyle w:val="Hyperlink"/>
                  <w:bCs/>
                  <w:color w:val="2A6CA8" w:themeColor="background2" w:themeShade="80"/>
                </w:rPr>
                <w:t>3</w:t>
              </w:r>
            </w:hyperlink>
          </w:p>
        </w:tc>
      </w:tr>
      <w:tr w:rsidR="00C25097" w:rsidRPr="00B45EAD" w14:paraId="18F98A39" w14:textId="77777777" w:rsidTr="00B70C63">
        <w:trPr>
          <w:tblHeader/>
        </w:trPr>
        <w:tc>
          <w:tcPr>
            <w:tcW w:w="7488" w:type="dxa"/>
          </w:tcPr>
          <w:p w14:paraId="4E416037" w14:textId="10C1979C" w:rsidR="00C25097" w:rsidRPr="00B45EAD" w:rsidRDefault="00C25097" w:rsidP="00C12D3A">
            <w:pPr>
              <w:spacing w:before="0" w:after="0" w:line="240" w:lineRule="auto"/>
            </w:pPr>
            <w:r w:rsidRPr="00B45EAD">
              <w:t>Ensure complete and accurate mapping for routes of administration</w:t>
            </w:r>
          </w:p>
        </w:tc>
        <w:sdt>
          <w:sdtPr>
            <w:id w:val="-607968023"/>
            <w14:checkbox>
              <w14:checked w14:val="0"/>
              <w14:checkedState w14:val="2612" w14:font="MS Gothic"/>
              <w14:uncheckedState w14:val="2610" w14:font="MS Gothic"/>
            </w14:checkbox>
          </w:sdtPr>
          <w:sdtEndPr/>
          <w:sdtContent>
            <w:tc>
              <w:tcPr>
                <w:tcW w:w="1404" w:type="dxa"/>
              </w:tcPr>
              <w:p w14:paraId="3D14EA7C" w14:textId="22729C4F" w:rsidR="00C25097" w:rsidRPr="00B45EAD" w:rsidRDefault="00C25097" w:rsidP="00C12D3A">
                <w:pPr>
                  <w:spacing w:before="0" w:after="0" w:line="240" w:lineRule="auto"/>
                  <w:rPr>
                    <w:b/>
                  </w:rPr>
                </w:pPr>
                <w:r w:rsidRPr="00B45EAD">
                  <w:rPr>
                    <w:rFonts w:ascii="Segoe UI Symbol" w:hAnsi="Segoe UI Symbol" w:cs="Segoe UI Symbol"/>
                  </w:rPr>
                  <w:t>☐</w:t>
                </w:r>
              </w:p>
            </w:tc>
          </w:sdtContent>
        </w:sdt>
        <w:tc>
          <w:tcPr>
            <w:tcW w:w="1093" w:type="dxa"/>
          </w:tcPr>
          <w:p w14:paraId="66745BFB" w14:textId="056DE78E" w:rsidR="00C25097" w:rsidRPr="006941F3" w:rsidRDefault="008B1AF6" w:rsidP="00C12D3A">
            <w:pPr>
              <w:spacing w:before="0" w:after="0" w:line="240" w:lineRule="auto"/>
              <w:rPr>
                <w:bCs/>
              </w:rPr>
            </w:pPr>
            <w:hyperlink w:anchor="_2._Ensure_complete" w:history="1">
              <w:r w:rsidRPr="006E74DF">
                <w:rPr>
                  <w:rStyle w:val="Hyperlink"/>
                  <w:bCs/>
                  <w:color w:val="2A6CA8" w:themeColor="background2" w:themeShade="80"/>
                </w:rPr>
                <w:t>3</w:t>
              </w:r>
            </w:hyperlink>
          </w:p>
        </w:tc>
      </w:tr>
      <w:tr w:rsidR="00C25097" w:rsidRPr="00B45EAD" w14:paraId="366B2234" w14:textId="77777777" w:rsidTr="00B70C63">
        <w:trPr>
          <w:tblHeader/>
        </w:trPr>
        <w:tc>
          <w:tcPr>
            <w:tcW w:w="7488" w:type="dxa"/>
          </w:tcPr>
          <w:p w14:paraId="6A5EBD77" w14:textId="27A1AB7E" w:rsidR="00C25097" w:rsidRPr="00B45EAD" w:rsidRDefault="00C25097" w:rsidP="00C12D3A">
            <w:pPr>
              <w:spacing w:before="0" w:after="0" w:line="240" w:lineRule="auto"/>
            </w:pPr>
            <w:r w:rsidRPr="00B45EAD">
              <w:t>Evaluate location-specific patterns of antimicrobial use</w:t>
            </w:r>
          </w:p>
        </w:tc>
        <w:sdt>
          <w:sdtPr>
            <w:id w:val="7957309"/>
            <w14:checkbox>
              <w14:checked w14:val="0"/>
              <w14:checkedState w14:val="2612" w14:font="MS Gothic"/>
              <w14:uncheckedState w14:val="2610" w14:font="MS Gothic"/>
            </w14:checkbox>
          </w:sdtPr>
          <w:sdtEndPr/>
          <w:sdtContent>
            <w:tc>
              <w:tcPr>
                <w:tcW w:w="1404" w:type="dxa"/>
              </w:tcPr>
              <w:p w14:paraId="4F9764F5" w14:textId="338043F6" w:rsidR="00C25097" w:rsidRPr="00B45EAD" w:rsidRDefault="00C25097" w:rsidP="00C12D3A">
                <w:pPr>
                  <w:spacing w:before="0" w:after="0" w:line="240" w:lineRule="auto"/>
                  <w:rPr>
                    <w:b/>
                  </w:rPr>
                </w:pPr>
                <w:r w:rsidRPr="00B45EAD">
                  <w:rPr>
                    <w:rFonts w:ascii="Segoe UI Symbol" w:hAnsi="Segoe UI Symbol" w:cs="Segoe UI Symbol"/>
                  </w:rPr>
                  <w:t>☐</w:t>
                </w:r>
              </w:p>
            </w:tc>
          </w:sdtContent>
        </w:sdt>
        <w:tc>
          <w:tcPr>
            <w:tcW w:w="1093" w:type="dxa"/>
          </w:tcPr>
          <w:p w14:paraId="7E08E5F7" w14:textId="33F54151" w:rsidR="00C25097" w:rsidRPr="006941F3" w:rsidRDefault="008B1AF6" w:rsidP="00C12D3A">
            <w:pPr>
              <w:spacing w:before="0" w:after="0" w:line="240" w:lineRule="auto"/>
              <w:rPr>
                <w:bCs/>
              </w:rPr>
            </w:pPr>
            <w:hyperlink w:anchor="_3._Evaluate_location-specific" w:history="1">
              <w:r w:rsidRPr="006E74DF">
                <w:rPr>
                  <w:rStyle w:val="Hyperlink"/>
                  <w:bCs/>
                  <w:color w:val="2A6CA8" w:themeColor="background2" w:themeShade="80"/>
                </w:rPr>
                <w:t>4</w:t>
              </w:r>
            </w:hyperlink>
          </w:p>
        </w:tc>
      </w:tr>
      <w:tr w:rsidR="00C25097" w:rsidRPr="00B45EAD" w14:paraId="465ED102" w14:textId="77777777" w:rsidTr="00B70C63">
        <w:trPr>
          <w:tblHeader/>
        </w:trPr>
        <w:tc>
          <w:tcPr>
            <w:tcW w:w="7488" w:type="dxa"/>
          </w:tcPr>
          <w:p w14:paraId="7AE2E35F" w14:textId="7935330C" w:rsidR="00C25097" w:rsidRPr="00B45EAD" w:rsidRDefault="00C25097" w:rsidP="00C12D3A">
            <w:pPr>
              <w:spacing w:before="0" w:after="0" w:line="240" w:lineRule="auto"/>
            </w:pPr>
            <w:r w:rsidRPr="00B45EAD">
              <w:t>Evaluate drug-specific patterns</w:t>
            </w:r>
          </w:p>
        </w:tc>
        <w:sdt>
          <w:sdtPr>
            <w:id w:val="300432597"/>
            <w14:checkbox>
              <w14:checked w14:val="0"/>
              <w14:checkedState w14:val="2612" w14:font="MS Gothic"/>
              <w14:uncheckedState w14:val="2610" w14:font="MS Gothic"/>
            </w14:checkbox>
          </w:sdtPr>
          <w:sdtEndPr/>
          <w:sdtContent>
            <w:tc>
              <w:tcPr>
                <w:tcW w:w="1404" w:type="dxa"/>
              </w:tcPr>
              <w:p w14:paraId="6D39BFB3" w14:textId="7BCC2A4C" w:rsidR="00C25097" w:rsidRPr="00B45EAD" w:rsidRDefault="00C25097" w:rsidP="00C12D3A">
                <w:pPr>
                  <w:spacing w:before="0" w:after="0" w:line="240" w:lineRule="auto"/>
                  <w:rPr>
                    <w:b/>
                  </w:rPr>
                </w:pPr>
                <w:r w:rsidRPr="00B45EAD">
                  <w:rPr>
                    <w:rFonts w:ascii="Segoe UI Symbol" w:hAnsi="Segoe UI Symbol" w:cs="Segoe UI Symbol"/>
                  </w:rPr>
                  <w:t>☐</w:t>
                </w:r>
              </w:p>
            </w:tc>
          </w:sdtContent>
        </w:sdt>
        <w:tc>
          <w:tcPr>
            <w:tcW w:w="1093" w:type="dxa"/>
          </w:tcPr>
          <w:p w14:paraId="5B7C3089" w14:textId="6B49D106" w:rsidR="00C25097" w:rsidRPr="006941F3" w:rsidRDefault="0069425F" w:rsidP="00C12D3A">
            <w:pPr>
              <w:spacing w:before="0" w:after="0" w:line="240" w:lineRule="auto"/>
              <w:rPr>
                <w:bCs/>
              </w:rPr>
            </w:pPr>
            <w:hyperlink w:anchor="_4._Evaluate_drug-specific" w:history="1">
              <w:r w:rsidRPr="006E74DF">
                <w:rPr>
                  <w:rStyle w:val="Hyperlink"/>
                  <w:color w:val="2A6CA8" w:themeColor="background2" w:themeShade="80"/>
                </w:rPr>
                <w:t>4</w:t>
              </w:r>
            </w:hyperlink>
          </w:p>
        </w:tc>
      </w:tr>
      <w:tr w:rsidR="00C25097" w:rsidRPr="00B45EAD" w14:paraId="12F01C6B" w14:textId="77777777" w:rsidTr="00B70C63">
        <w:trPr>
          <w:tblHeader/>
        </w:trPr>
        <w:tc>
          <w:tcPr>
            <w:tcW w:w="7488" w:type="dxa"/>
          </w:tcPr>
          <w:p w14:paraId="3ACD6E8F" w14:textId="77777777" w:rsidR="00C25097" w:rsidRPr="00B45EAD" w:rsidRDefault="00C25097" w:rsidP="00C12D3A">
            <w:pPr>
              <w:spacing w:before="0" w:after="0" w:line="240" w:lineRule="auto"/>
            </w:pPr>
          </w:p>
        </w:tc>
        <w:tc>
          <w:tcPr>
            <w:tcW w:w="1404" w:type="dxa"/>
          </w:tcPr>
          <w:p w14:paraId="7617461A" w14:textId="77777777" w:rsidR="00C25097" w:rsidRPr="00B45EAD" w:rsidRDefault="00C25097" w:rsidP="00C12D3A">
            <w:pPr>
              <w:spacing w:before="0" w:after="0" w:line="240" w:lineRule="auto"/>
              <w:rPr>
                <w:b/>
              </w:rPr>
            </w:pPr>
          </w:p>
        </w:tc>
        <w:tc>
          <w:tcPr>
            <w:tcW w:w="1093" w:type="dxa"/>
          </w:tcPr>
          <w:p w14:paraId="75E951B2" w14:textId="77777777" w:rsidR="00C25097" w:rsidRPr="006941F3" w:rsidRDefault="00C25097" w:rsidP="00C12D3A">
            <w:pPr>
              <w:spacing w:before="0" w:after="0" w:line="240" w:lineRule="auto"/>
              <w:rPr>
                <w:b/>
                <w:highlight w:val="yellow"/>
              </w:rPr>
            </w:pPr>
          </w:p>
        </w:tc>
      </w:tr>
      <w:tr w:rsidR="00C25097" w:rsidRPr="00B45EAD" w14:paraId="0127E00E" w14:textId="77777777" w:rsidTr="00B70C63">
        <w:trPr>
          <w:tblHeader/>
        </w:trPr>
        <w:tc>
          <w:tcPr>
            <w:tcW w:w="7488" w:type="dxa"/>
            <w:shd w:val="clear" w:color="auto" w:fill="D9D9D9" w:themeFill="background1" w:themeFillShade="D9"/>
          </w:tcPr>
          <w:p w14:paraId="01EE21A9" w14:textId="22551AD2" w:rsidR="00C25097" w:rsidRPr="00B45EAD" w:rsidRDefault="00C25097" w:rsidP="00C12D3A">
            <w:pPr>
              <w:spacing w:before="0" w:after="0" w:line="240" w:lineRule="auto"/>
              <w:rPr>
                <w:b/>
              </w:rPr>
            </w:pPr>
            <w:r w:rsidRPr="00B45EAD">
              <w:rPr>
                <w:b/>
              </w:rPr>
              <w:t xml:space="preserve">Section </w:t>
            </w:r>
            <w:r>
              <w:rPr>
                <w:b/>
              </w:rPr>
              <w:t>B</w:t>
            </w:r>
            <w:r w:rsidRPr="00B45EAD">
              <w:rPr>
                <w:b/>
              </w:rPr>
              <w:t>: Review Mappings</w:t>
            </w:r>
          </w:p>
        </w:tc>
        <w:sdt>
          <w:sdtPr>
            <w:id w:val="-665088080"/>
            <w14:checkbox>
              <w14:checked w14:val="0"/>
              <w14:checkedState w14:val="2612" w14:font="MS Gothic"/>
              <w14:uncheckedState w14:val="2610" w14:font="MS Gothic"/>
            </w14:checkbox>
          </w:sdtPr>
          <w:sdtEndPr/>
          <w:sdtContent>
            <w:tc>
              <w:tcPr>
                <w:tcW w:w="1404" w:type="dxa"/>
              </w:tcPr>
              <w:p w14:paraId="278E10D6" w14:textId="77777777" w:rsidR="00C25097" w:rsidRPr="00B45EAD" w:rsidRDefault="00C25097" w:rsidP="00C12D3A">
                <w:pPr>
                  <w:spacing w:before="0" w:after="0" w:line="240" w:lineRule="auto"/>
                </w:pPr>
                <w:r w:rsidRPr="00B45EAD">
                  <w:rPr>
                    <w:rFonts w:ascii="Segoe UI Symbol" w:hAnsi="Segoe UI Symbol" w:cs="Segoe UI Symbol"/>
                  </w:rPr>
                  <w:t>☐</w:t>
                </w:r>
              </w:p>
            </w:tc>
          </w:sdtContent>
        </w:sdt>
        <w:tc>
          <w:tcPr>
            <w:tcW w:w="1093" w:type="dxa"/>
          </w:tcPr>
          <w:p w14:paraId="10289D51" w14:textId="2D0BBAA7" w:rsidR="00C25097" w:rsidRPr="001915A9" w:rsidRDefault="001915A9" w:rsidP="00C12D3A">
            <w:pPr>
              <w:spacing w:before="0" w:after="0" w:line="240" w:lineRule="auto"/>
              <w:rPr>
                <w:color w:val="auto"/>
              </w:rPr>
            </w:pPr>
            <w:hyperlink w:anchor="_Section_B._Review" w:history="1">
              <w:r w:rsidRPr="006E74DF">
                <w:rPr>
                  <w:rStyle w:val="Hyperlink"/>
                  <w:color w:val="2A6CA8" w:themeColor="background2" w:themeShade="80"/>
                </w:rPr>
                <w:t>6</w:t>
              </w:r>
            </w:hyperlink>
          </w:p>
        </w:tc>
      </w:tr>
      <w:tr w:rsidR="00C25097" w:rsidRPr="00B45EAD" w14:paraId="445745FB" w14:textId="77777777" w:rsidTr="00B70C63">
        <w:trPr>
          <w:tblHeader/>
        </w:trPr>
        <w:tc>
          <w:tcPr>
            <w:tcW w:w="7488" w:type="dxa"/>
          </w:tcPr>
          <w:p w14:paraId="71CB3254" w14:textId="1CA360B8" w:rsidR="00C25097" w:rsidRPr="00B45EAD" w:rsidRDefault="00C25097" w:rsidP="00C12D3A">
            <w:pPr>
              <w:spacing w:before="0" w:after="0" w:line="240" w:lineRule="auto"/>
            </w:pPr>
            <w:r w:rsidRPr="00B45EAD">
              <w:t xml:space="preserve">Review mappings for patient care locations </w:t>
            </w:r>
            <w:r w:rsidR="00453CC4">
              <w:t>and</w:t>
            </w:r>
            <w:r w:rsidRPr="00B45EAD">
              <w:t xml:space="preserve"> antimicrobial agents</w:t>
            </w:r>
          </w:p>
        </w:tc>
        <w:sdt>
          <w:sdtPr>
            <w:id w:val="-1011375392"/>
            <w14:checkbox>
              <w14:checked w14:val="0"/>
              <w14:checkedState w14:val="2612" w14:font="MS Gothic"/>
              <w14:uncheckedState w14:val="2610" w14:font="MS Gothic"/>
            </w14:checkbox>
          </w:sdtPr>
          <w:sdtEndPr/>
          <w:sdtContent>
            <w:tc>
              <w:tcPr>
                <w:tcW w:w="1404" w:type="dxa"/>
              </w:tcPr>
              <w:p w14:paraId="1B56B808" w14:textId="77777777" w:rsidR="00C25097" w:rsidRPr="00B45EAD" w:rsidRDefault="00C25097" w:rsidP="00C12D3A">
                <w:pPr>
                  <w:spacing w:before="0" w:after="0" w:line="240" w:lineRule="auto"/>
                </w:pPr>
                <w:r w:rsidRPr="00B45EAD">
                  <w:rPr>
                    <w:rFonts w:ascii="Segoe UI Symbol" w:hAnsi="Segoe UI Symbol" w:cs="Segoe UI Symbol"/>
                  </w:rPr>
                  <w:t>☐</w:t>
                </w:r>
              </w:p>
            </w:tc>
          </w:sdtContent>
        </w:sdt>
        <w:tc>
          <w:tcPr>
            <w:tcW w:w="1093" w:type="dxa"/>
          </w:tcPr>
          <w:p w14:paraId="68DEBF21" w14:textId="1A00C90F" w:rsidR="00C25097" w:rsidRPr="001915A9" w:rsidRDefault="0069425F" w:rsidP="00C12D3A">
            <w:pPr>
              <w:spacing w:before="0" w:after="0" w:line="240" w:lineRule="auto"/>
              <w:rPr>
                <w:color w:val="auto"/>
              </w:rPr>
            </w:pPr>
            <w:hyperlink w:anchor="_1._Review_mappings" w:history="1">
              <w:r w:rsidRPr="006E74DF">
                <w:rPr>
                  <w:rStyle w:val="Hyperlink"/>
                  <w:color w:val="2A6CA8" w:themeColor="background2" w:themeShade="80"/>
                </w:rPr>
                <w:t>7</w:t>
              </w:r>
            </w:hyperlink>
          </w:p>
        </w:tc>
      </w:tr>
      <w:tr w:rsidR="00C25097" w:rsidRPr="00B45EAD" w14:paraId="23FCCACC" w14:textId="77777777" w:rsidTr="00B70C63">
        <w:trPr>
          <w:tblHeader/>
        </w:trPr>
        <w:tc>
          <w:tcPr>
            <w:tcW w:w="7488" w:type="dxa"/>
          </w:tcPr>
          <w:p w14:paraId="632484B9" w14:textId="77777777" w:rsidR="00C25097" w:rsidRPr="00B45EAD" w:rsidRDefault="00C25097" w:rsidP="00C12D3A">
            <w:pPr>
              <w:spacing w:before="0" w:after="0" w:line="240" w:lineRule="auto"/>
            </w:pPr>
            <w:r w:rsidRPr="00B45EAD">
              <w:t>Confirm appropriate use of N/A versus zero</w:t>
            </w:r>
          </w:p>
        </w:tc>
        <w:sdt>
          <w:sdtPr>
            <w:id w:val="-751895181"/>
            <w14:checkbox>
              <w14:checked w14:val="0"/>
              <w14:checkedState w14:val="2612" w14:font="MS Gothic"/>
              <w14:uncheckedState w14:val="2610" w14:font="MS Gothic"/>
            </w14:checkbox>
          </w:sdtPr>
          <w:sdtEndPr/>
          <w:sdtContent>
            <w:tc>
              <w:tcPr>
                <w:tcW w:w="1404" w:type="dxa"/>
              </w:tcPr>
              <w:p w14:paraId="0B04A58C" w14:textId="77777777" w:rsidR="00C25097" w:rsidRPr="00B45EAD" w:rsidRDefault="00C25097" w:rsidP="00C12D3A">
                <w:pPr>
                  <w:spacing w:before="0" w:after="0" w:line="240" w:lineRule="auto"/>
                </w:pPr>
                <w:r w:rsidRPr="00B45EAD">
                  <w:rPr>
                    <w:rFonts w:ascii="Segoe UI Symbol" w:hAnsi="Segoe UI Symbol" w:cs="Segoe UI Symbol"/>
                  </w:rPr>
                  <w:t>☐</w:t>
                </w:r>
              </w:p>
            </w:tc>
          </w:sdtContent>
        </w:sdt>
        <w:tc>
          <w:tcPr>
            <w:tcW w:w="1093" w:type="dxa"/>
          </w:tcPr>
          <w:p w14:paraId="4C4F9465" w14:textId="4F254595" w:rsidR="00C25097" w:rsidRPr="001915A9" w:rsidRDefault="0069425F" w:rsidP="00C12D3A">
            <w:pPr>
              <w:spacing w:before="0" w:after="0" w:line="240" w:lineRule="auto"/>
              <w:rPr>
                <w:color w:val="auto"/>
              </w:rPr>
            </w:pPr>
            <w:hyperlink w:anchor="_2._Confirm_appropriate" w:history="1">
              <w:r w:rsidRPr="006E74DF">
                <w:rPr>
                  <w:rStyle w:val="Hyperlink"/>
                  <w:color w:val="2A6CA8" w:themeColor="background2" w:themeShade="80"/>
                </w:rPr>
                <w:t>8</w:t>
              </w:r>
            </w:hyperlink>
          </w:p>
        </w:tc>
      </w:tr>
      <w:tr w:rsidR="00C25097" w:rsidRPr="00B45EAD" w14:paraId="54377748" w14:textId="77777777" w:rsidTr="00B70C63">
        <w:trPr>
          <w:tblHeader/>
        </w:trPr>
        <w:tc>
          <w:tcPr>
            <w:tcW w:w="7488" w:type="dxa"/>
          </w:tcPr>
          <w:p w14:paraId="33FCC15D" w14:textId="77777777" w:rsidR="00C25097" w:rsidRPr="00B45EAD" w:rsidRDefault="00C25097" w:rsidP="00C12D3A">
            <w:pPr>
              <w:spacing w:before="0" w:after="0" w:line="240" w:lineRule="auto"/>
            </w:pPr>
            <w:r w:rsidRPr="00B45EAD">
              <w:t>Review locations mapped in NHSN</w:t>
            </w:r>
          </w:p>
        </w:tc>
        <w:sdt>
          <w:sdtPr>
            <w:id w:val="-448086729"/>
            <w14:checkbox>
              <w14:checked w14:val="0"/>
              <w14:checkedState w14:val="2612" w14:font="MS Gothic"/>
              <w14:uncheckedState w14:val="2610" w14:font="MS Gothic"/>
            </w14:checkbox>
          </w:sdtPr>
          <w:sdtEndPr/>
          <w:sdtContent>
            <w:tc>
              <w:tcPr>
                <w:tcW w:w="1404" w:type="dxa"/>
              </w:tcPr>
              <w:p w14:paraId="0292CAAE" w14:textId="77777777" w:rsidR="00C25097" w:rsidRPr="00B45EAD" w:rsidRDefault="00C25097" w:rsidP="00C12D3A">
                <w:pPr>
                  <w:spacing w:before="0" w:after="0" w:line="240" w:lineRule="auto"/>
                </w:pPr>
                <w:r w:rsidRPr="00B45EAD">
                  <w:rPr>
                    <w:rFonts w:ascii="Segoe UI Symbol" w:hAnsi="Segoe UI Symbol" w:cs="Segoe UI Symbol"/>
                  </w:rPr>
                  <w:t>☐</w:t>
                </w:r>
              </w:p>
            </w:tc>
          </w:sdtContent>
        </w:sdt>
        <w:tc>
          <w:tcPr>
            <w:tcW w:w="1093" w:type="dxa"/>
          </w:tcPr>
          <w:p w14:paraId="54762A09" w14:textId="74DD4A31" w:rsidR="00C25097" w:rsidRPr="001915A9" w:rsidRDefault="0069425F" w:rsidP="00C12D3A">
            <w:pPr>
              <w:spacing w:before="0" w:after="0" w:line="240" w:lineRule="auto"/>
              <w:rPr>
                <w:color w:val="auto"/>
              </w:rPr>
            </w:pPr>
            <w:hyperlink w:anchor="_3._Review_locations" w:history="1">
              <w:r w:rsidRPr="006E74DF">
                <w:rPr>
                  <w:rStyle w:val="Hyperlink"/>
                  <w:color w:val="2A6CA8" w:themeColor="background2" w:themeShade="80"/>
                </w:rPr>
                <w:t>8</w:t>
              </w:r>
            </w:hyperlink>
          </w:p>
        </w:tc>
      </w:tr>
      <w:tr w:rsidR="00C25097" w:rsidRPr="00B45EAD" w14:paraId="37F8A261" w14:textId="77777777" w:rsidTr="00B70C63">
        <w:trPr>
          <w:tblHeader/>
        </w:trPr>
        <w:tc>
          <w:tcPr>
            <w:tcW w:w="7488" w:type="dxa"/>
            <w:tcBorders>
              <w:right w:val="nil"/>
            </w:tcBorders>
          </w:tcPr>
          <w:p w14:paraId="6EE7F818" w14:textId="77777777" w:rsidR="00C25097" w:rsidRPr="00B45EAD" w:rsidRDefault="00C25097" w:rsidP="00C12D3A">
            <w:pPr>
              <w:spacing w:before="0" w:after="0" w:line="240" w:lineRule="auto"/>
            </w:pPr>
          </w:p>
        </w:tc>
        <w:tc>
          <w:tcPr>
            <w:tcW w:w="1404" w:type="dxa"/>
            <w:tcBorders>
              <w:left w:val="nil"/>
              <w:right w:val="nil"/>
            </w:tcBorders>
          </w:tcPr>
          <w:p w14:paraId="5425A2FC" w14:textId="77777777" w:rsidR="00C25097" w:rsidRPr="00B45EAD" w:rsidRDefault="00C25097" w:rsidP="00C12D3A">
            <w:pPr>
              <w:spacing w:before="0" w:after="0" w:line="240" w:lineRule="auto"/>
            </w:pPr>
          </w:p>
        </w:tc>
        <w:tc>
          <w:tcPr>
            <w:tcW w:w="1093" w:type="dxa"/>
            <w:tcBorders>
              <w:left w:val="nil"/>
            </w:tcBorders>
          </w:tcPr>
          <w:p w14:paraId="42EA7789" w14:textId="77777777" w:rsidR="00C25097" w:rsidRPr="006941F3" w:rsidRDefault="00C25097" w:rsidP="00C12D3A">
            <w:pPr>
              <w:spacing w:before="0" w:after="0" w:line="240" w:lineRule="auto"/>
              <w:rPr>
                <w:color w:val="auto"/>
                <w:highlight w:val="yellow"/>
              </w:rPr>
            </w:pPr>
          </w:p>
        </w:tc>
      </w:tr>
      <w:tr w:rsidR="00C25097" w:rsidRPr="00B45EAD" w14:paraId="592FB578" w14:textId="77777777" w:rsidTr="00B70C63">
        <w:trPr>
          <w:tblHeader/>
        </w:trPr>
        <w:tc>
          <w:tcPr>
            <w:tcW w:w="7488" w:type="dxa"/>
            <w:shd w:val="clear" w:color="auto" w:fill="D9D9D9" w:themeFill="background1" w:themeFillShade="D9"/>
          </w:tcPr>
          <w:p w14:paraId="587A3462" w14:textId="39EE4261" w:rsidR="00C25097" w:rsidRPr="00B45EAD" w:rsidRDefault="00C25097" w:rsidP="00C12D3A">
            <w:pPr>
              <w:spacing w:before="0" w:after="0" w:line="240" w:lineRule="auto"/>
              <w:rPr>
                <w:b/>
              </w:rPr>
            </w:pPr>
            <w:r w:rsidRPr="00B45EAD">
              <w:rPr>
                <w:b/>
              </w:rPr>
              <w:t xml:space="preserve">Section </w:t>
            </w:r>
            <w:r>
              <w:rPr>
                <w:b/>
              </w:rPr>
              <w:t>C</w:t>
            </w:r>
            <w:r w:rsidRPr="00B45EAD">
              <w:rPr>
                <w:b/>
              </w:rPr>
              <w:t xml:space="preserve">: Validation of Data Aggregations </w:t>
            </w:r>
            <w:r w:rsidR="00453CC4">
              <w:rPr>
                <w:b/>
              </w:rPr>
              <w:t>and</w:t>
            </w:r>
            <w:r w:rsidRPr="00B45EAD">
              <w:rPr>
                <w:b/>
              </w:rPr>
              <w:t xml:space="preserve"> Calculations</w:t>
            </w:r>
          </w:p>
        </w:tc>
        <w:sdt>
          <w:sdtPr>
            <w:id w:val="1979101460"/>
            <w14:checkbox>
              <w14:checked w14:val="0"/>
              <w14:checkedState w14:val="2612" w14:font="MS Gothic"/>
              <w14:uncheckedState w14:val="2610" w14:font="MS Gothic"/>
            </w14:checkbox>
          </w:sdtPr>
          <w:sdtEndPr/>
          <w:sdtContent>
            <w:tc>
              <w:tcPr>
                <w:tcW w:w="1404" w:type="dxa"/>
              </w:tcPr>
              <w:p w14:paraId="633888F0" w14:textId="77777777" w:rsidR="00C25097" w:rsidRPr="00B45EAD" w:rsidRDefault="00C25097" w:rsidP="00C12D3A">
                <w:pPr>
                  <w:spacing w:before="0" w:after="0" w:line="240" w:lineRule="auto"/>
                </w:pPr>
                <w:r w:rsidRPr="00B45EAD">
                  <w:rPr>
                    <w:rFonts w:ascii="Segoe UI Symbol" w:hAnsi="Segoe UI Symbol" w:cs="Segoe UI Symbol"/>
                  </w:rPr>
                  <w:t>☐</w:t>
                </w:r>
              </w:p>
            </w:tc>
          </w:sdtContent>
        </w:sdt>
        <w:tc>
          <w:tcPr>
            <w:tcW w:w="1093" w:type="dxa"/>
          </w:tcPr>
          <w:p w14:paraId="0AEA4A43" w14:textId="2E9468A3" w:rsidR="00C25097" w:rsidRPr="002D2025" w:rsidRDefault="002D2025" w:rsidP="00C12D3A">
            <w:pPr>
              <w:spacing w:before="0" w:after="0" w:line="240" w:lineRule="auto"/>
              <w:rPr>
                <w:color w:val="auto"/>
              </w:rPr>
            </w:pPr>
            <w:hyperlink w:anchor="_Section_C._Validation" w:history="1">
              <w:r w:rsidRPr="006E74DF">
                <w:rPr>
                  <w:rStyle w:val="Hyperlink"/>
                  <w:color w:val="2A6CA8" w:themeColor="background2" w:themeShade="80"/>
                </w:rPr>
                <w:t>10</w:t>
              </w:r>
            </w:hyperlink>
          </w:p>
        </w:tc>
      </w:tr>
      <w:tr w:rsidR="00C25097" w:rsidRPr="00B45EAD" w14:paraId="0FB600F8" w14:textId="77777777" w:rsidTr="00B70C63">
        <w:trPr>
          <w:tblHeader/>
        </w:trPr>
        <w:tc>
          <w:tcPr>
            <w:tcW w:w="7488" w:type="dxa"/>
          </w:tcPr>
          <w:p w14:paraId="1651A13A" w14:textId="027DDBA8" w:rsidR="00C25097" w:rsidRPr="00B45EAD" w:rsidRDefault="00C25097" w:rsidP="00C12D3A">
            <w:pPr>
              <w:spacing w:before="0" w:after="0" w:line="240" w:lineRule="auto"/>
            </w:pPr>
            <w:r w:rsidRPr="00B45EAD">
              <w:t>Review aggregations</w:t>
            </w:r>
          </w:p>
        </w:tc>
        <w:sdt>
          <w:sdtPr>
            <w:id w:val="1306965748"/>
            <w14:checkbox>
              <w14:checked w14:val="0"/>
              <w14:checkedState w14:val="2612" w14:font="MS Gothic"/>
              <w14:uncheckedState w14:val="2610" w14:font="MS Gothic"/>
            </w14:checkbox>
          </w:sdtPr>
          <w:sdtEndPr/>
          <w:sdtContent>
            <w:tc>
              <w:tcPr>
                <w:tcW w:w="1404" w:type="dxa"/>
              </w:tcPr>
              <w:p w14:paraId="54A2DF5F" w14:textId="77777777" w:rsidR="00C25097" w:rsidRPr="00B45EAD" w:rsidRDefault="00C25097" w:rsidP="00C12D3A">
                <w:pPr>
                  <w:spacing w:before="0" w:after="0" w:line="240" w:lineRule="auto"/>
                </w:pPr>
                <w:r w:rsidRPr="00B45EAD">
                  <w:rPr>
                    <w:rFonts w:ascii="Segoe UI Symbol" w:hAnsi="Segoe UI Symbol" w:cs="Segoe UI Symbol"/>
                  </w:rPr>
                  <w:t>☐</w:t>
                </w:r>
              </w:p>
            </w:tc>
          </w:sdtContent>
        </w:sdt>
        <w:tc>
          <w:tcPr>
            <w:tcW w:w="1093" w:type="dxa"/>
          </w:tcPr>
          <w:p w14:paraId="07602D49" w14:textId="6D2C2A13" w:rsidR="00C25097" w:rsidRPr="002D2025" w:rsidRDefault="002D2025" w:rsidP="00C12D3A">
            <w:pPr>
              <w:spacing w:before="0" w:after="0" w:line="240" w:lineRule="auto"/>
              <w:rPr>
                <w:color w:val="auto"/>
              </w:rPr>
            </w:pPr>
            <w:hyperlink w:anchor="_1._Review_aggregations" w:history="1">
              <w:r w:rsidRPr="006E74DF">
                <w:rPr>
                  <w:rStyle w:val="Hyperlink"/>
                  <w:color w:val="2A6CA8" w:themeColor="background2" w:themeShade="80"/>
                </w:rPr>
                <w:t>10</w:t>
              </w:r>
            </w:hyperlink>
          </w:p>
        </w:tc>
      </w:tr>
      <w:tr w:rsidR="00C25097" w:rsidRPr="00B45EAD" w14:paraId="135F0A71" w14:textId="77777777" w:rsidTr="00B70C63">
        <w:trPr>
          <w:tblHeader/>
        </w:trPr>
        <w:tc>
          <w:tcPr>
            <w:tcW w:w="7488" w:type="dxa"/>
          </w:tcPr>
          <w:p w14:paraId="544FED74" w14:textId="0C389A5D" w:rsidR="00C25097" w:rsidRPr="00B45EAD" w:rsidRDefault="00C25097" w:rsidP="00C12D3A">
            <w:pPr>
              <w:spacing w:before="0" w:after="0" w:line="240" w:lineRule="auto"/>
            </w:pPr>
            <w:r w:rsidRPr="00B45EAD">
              <w:t xml:space="preserve">Compare AU, AR, </w:t>
            </w:r>
            <w:r w:rsidR="006E63E6">
              <w:t>and</w:t>
            </w:r>
            <w:r w:rsidRPr="00B45EAD">
              <w:t xml:space="preserve"> HAI denominators</w:t>
            </w:r>
          </w:p>
        </w:tc>
        <w:sdt>
          <w:sdtPr>
            <w:id w:val="1896388588"/>
            <w14:checkbox>
              <w14:checked w14:val="0"/>
              <w14:checkedState w14:val="2612" w14:font="MS Gothic"/>
              <w14:uncheckedState w14:val="2610" w14:font="MS Gothic"/>
            </w14:checkbox>
          </w:sdtPr>
          <w:sdtEndPr/>
          <w:sdtContent>
            <w:tc>
              <w:tcPr>
                <w:tcW w:w="1404" w:type="dxa"/>
              </w:tcPr>
              <w:p w14:paraId="1955604C" w14:textId="77777777" w:rsidR="00C25097" w:rsidRPr="00B45EAD" w:rsidRDefault="00C25097" w:rsidP="00C12D3A">
                <w:pPr>
                  <w:spacing w:before="0" w:after="0" w:line="240" w:lineRule="auto"/>
                </w:pPr>
                <w:r w:rsidRPr="00B45EAD">
                  <w:rPr>
                    <w:rFonts w:ascii="Segoe UI Symbol" w:hAnsi="Segoe UI Symbol" w:cs="Segoe UI Symbol"/>
                  </w:rPr>
                  <w:t>☐</w:t>
                </w:r>
              </w:p>
            </w:tc>
          </w:sdtContent>
        </w:sdt>
        <w:tc>
          <w:tcPr>
            <w:tcW w:w="1093" w:type="dxa"/>
          </w:tcPr>
          <w:p w14:paraId="7B5BFF53" w14:textId="72D84DF3" w:rsidR="00C25097" w:rsidRPr="002D2025" w:rsidRDefault="0069425F" w:rsidP="00C12D3A">
            <w:pPr>
              <w:spacing w:before="0" w:after="0" w:line="240" w:lineRule="auto"/>
              <w:rPr>
                <w:color w:val="auto"/>
              </w:rPr>
            </w:pPr>
            <w:hyperlink w:anchor="_2._Compare_AU," w:history="1">
              <w:r w:rsidRPr="006E74DF">
                <w:rPr>
                  <w:rStyle w:val="Hyperlink"/>
                  <w:color w:val="2A6CA8" w:themeColor="background2" w:themeShade="80"/>
                </w:rPr>
                <w:t>14</w:t>
              </w:r>
            </w:hyperlink>
          </w:p>
        </w:tc>
      </w:tr>
      <w:tr w:rsidR="00C25097" w:rsidRPr="00B45EAD" w14:paraId="43087EE8" w14:textId="77777777" w:rsidTr="00B70C63">
        <w:trPr>
          <w:tblHeader/>
        </w:trPr>
        <w:tc>
          <w:tcPr>
            <w:tcW w:w="7488" w:type="dxa"/>
          </w:tcPr>
          <w:p w14:paraId="74E18EED" w14:textId="77777777" w:rsidR="00C25097" w:rsidRPr="00B45EAD" w:rsidRDefault="00C25097" w:rsidP="00C12D3A">
            <w:pPr>
              <w:spacing w:before="0" w:after="0" w:line="240" w:lineRule="auto"/>
            </w:pPr>
          </w:p>
        </w:tc>
        <w:tc>
          <w:tcPr>
            <w:tcW w:w="1404" w:type="dxa"/>
          </w:tcPr>
          <w:p w14:paraId="0C34FFC7" w14:textId="77777777" w:rsidR="00C25097" w:rsidRPr="00B45EAD" w:rsidRDefault="00C25097" w:rsidP="00C12D3A">
            <w:pPr>
              <w:spacing w:before="0" w:after="0" w:line="240" w:lineRule="auto"/>
            </w:pPr>
          </w:p>
        </w:tc>
        <w:tc>
          <w:tcPr>
            <w:tcW w:w="1093" w:type="dxa"/>
          </w:tcPr>
          <w:p w14:paraId="68453B80" w14:textId="77777777" w:rsidR="00C25097" w:rsidRPr="002D2025" w:rsidRDefault="00C25097" w:rsidP="00C12D3A">
            <w:pPr>
              <w:spacing w:before="0" w:after="0" w:line="240" w:lineRule="auto"/>
              <w:rPr>
                <w:color w:val="auto"/>
              </w:rPr>
            </w:pPr>
          </w:p>
        </w:tc>
      </w:tr>
      <w:tr w:rsidR="00C25097" w:rsidRPr="00B45EAD" w14:paraId="1E16B612" w14:textId="77777777" w:rsidTr="00B70C63">
        <w:trPr>
          <w:tblHeader/>
        </w:trPr>
        <w:tc>
          <w:tcPr>
            <w:tcW w:w="7488" w:type="dxa"/>
            <w:shd w:val="clear" w:color="auto" w:fill="D9D9D9" w:themeFill="background1" w:themeFillShade="D9"/>
          </w:tcPr>
          <w:p w14:paraId="37F96937" w14:textId="77777777" w:rsidR="00C25097" w:rsidRPr="00B45EAD" w:rsidRDefault="00C25097" w:rsidP="00C12D3A">
            <w:pPr>
              <w:spacing w:before="0" w:after="0" w:line="240" w:lineRule="auto"/>
              <w:rPr>
                <w:b/>
                <w:bCs/>
              </w:rPr>
            </w:pPr>
            <w:r w:rsidRPr="00B45EAD">
              <w:rPr>
                <w:b/>
                <w:bCs/>
              </w:rPr>
              <w:t>Appendix: Links to Referenced Documents</w:t>
            </w:r>
          </w:p>
        </w:tc>
        <w:sdt>
          <w:sdtPr>
            <w:id w:val="-213885835"/>
            <w14:checkbox>
              <w14:checked w14:val="0"/>
              <w14:checkedState w14:val="2612" w14:font="MS Gothic"/>
              <w14:uncheckedState w14:val="2610" w14:font="MS Gothic"/>
            </w14:checkbox>
          </w:sdtPr>
          <w:sdtEndPr/>
          <w:sdtContent>
            <w:tc>
              <w:tcPr>
                <w:tcW w:w="1404" w:type="dxa"/>
              </w:tcPr>
              <w:p w14:paraId="76464223" w14:textId="77777777" w:rsidR="00C25097" w:rsidRPr="00B45EAD" w:rsidRDefault="00C25097" w:rsidP="00C12D3A">
                <w:pPr>
                  <w:spacing w:before="0" w:after="0" w:line="240" w:lineRule="auto"/>
                </w:pPr>
                <w:r w:rsidRPr="00B45EAD">
                  <w:rPr>
                    <w:rFonts w:ascii="Segoe UI Symbol" w:hAnsi="Segoe UI Symbol" w:cs="Segoe UI Symbol"/>
                  </w:rPr>
                  <w:t>☐</w:t>
                </w:r>
              </w:p>
            </w:tc>
          </w:sdtContent>
        </w:sdt>
        <w:tc>
          <w:tcPr>
            <w:tcW w:w="1093" w:type="dxa"/>
          </w:tcPr>
          <w:p w14:paraId="00642CC8" w14:textId="4F9D3453" w:rsidR="00C25097" w:rsidRPr="002D2025" w:rsidRDefault="002D2025" w:rsidP="00C12D3A">
            <w:pPr>
              <w:spacing w:before="0" w:after="0" w:line="240" w:lineRule="auto"/>
              <w:rPr>
                <w:color w:val="auto"/>
              </w:rPr>
            </w:pPr>
            <w:hyperlink w:anchor="_Appendix:_Links_to" w:history="1">
              <w:r w:rsidRPr="006E74DF">
                <w:rPr>
                  <w:rStyle w:val="Hyperlink"/>
                  <w:color w:val="2A6CA8" w:themeColor="background2" w:themeShade="80"/>
                </w:rPr>
                <w:t>18</w:t>
              </w:r>
            </w:hyperlink>
          </w:p>
        </w:tc>
      </w:tr>
    </w:tbl>
    <w:p w14:paraId="431B957D" w14:textId="77777777" w:rsidR="00B45EAD" w:rsidRDefault="00B45EAD" w:rsidP="00C12D3A">
      <w:pPr>
        <w:spacing w:before="0" w:after="0" w:line="240" w:lineRule="auto"/>
        <w:rPr>
          <w:rFonts w:eastAsiaTheme="majorEastAsia" w:cstheme="majorBidi"/>
          <w:b/>
          <w:color w:val="004050" w:themeColor="accent2" w:themeShade="80"/>
          <w:sz w:val="30"/>
          <w:szCs w:val="32"/>
        </w:rPr>
      </w:pPr>
      <w:r>
        <w:br w:type="page"/>
      </w:r>
    </w:p>
    <w:p w14:paraId="71B4D5B7" w14:textId="4A3D01F9" w:rsidR="007D114F" w:rsidRDefault="007D114F" w:rsidP="009211B6">
      <w:pPr>
        <w:pStyle w:val="Heading2"/>
        <w:spacing w:after="0"/>
      </w:pPr>
      <w:bookmarkStart w:id="1" w:name="_Section_A._Spot"/>
      <w:bookmarkEnd w:id="1"/>
      <w:r w:rsidRPr="00B45EAD">
        <w:lastRenderedPageBreak/>
        <w:t xml:space="preserve">Section </w:t>
      </w:r>
      <w:r>
        <w:t>A</w:t>
      </w:r>
      <w:r w:rsidRPr="00B45EAD">
        <w:t xml:space="preserve">. </w:t>
      </w:r>
      <w:r w:rsidRPr="00CC4118">
        <w:t>Spot Check Data Submitted to NHSN</w:t>
      </w:r>
    </w:p>
    <w:p w14:paraId="4177B721" w14:textId="77777777" w:rsidR="007D114F" w:rsidRPr="00B70C63" w:rsidRDefault="007D114F" w:rsidP="00C12D3A">
      <w:pPr>
        <w:spacing w:before="0" w:after="0" w:line="240" w:lineRule="auto"/>
        <w:rPr>
          <w:rFonts w:eastAsiaTheme="majorEastAsia" w:cstheme="majorBidi"/>
          <w:b/>
          <w:color w:val="004050" w:themeColor="accent2" w:themeShade="80"/>
          <w:szCs w:val="22"/>
        </w:rPr>
      </w:pPr>
    </w:p>
    <w:p w14:paraId="425CC50E" w14:textId="2A5405B2" w:rsidR="008F1ACA" w:rsidRDefault="007D114F" w:rsidP="00C12D3A">
      <w:pPr>
        <w:spacing w:before="0" w:after="0" w:line="240" w:lineRule="auto"/>
        <w:rPr>
          <w:rFonts w:cs="Arial"/>
          <w:i/>
          <w:iCs/>
          <w:szCs w:val="22"/>
        </w:rPr>
      </w:pPr>
      <w:r w:rsidRPr="00CC4118">
        <w:rPr>
          <w:rFonts w:cs="Arial"/>
          <w:szCs w:val="22"/>
        </w:rPr>
        <w:t>Prior to beginning this section, you should upload at least one month’s worth of AU data into NHSN for all patient care locations if you have</w:t>
      </w:r>
      <w:r w:rsidR="00EA2F5B">
        <w:rPr>
          <w:rFonts w:cs="Arial"/>
          <w:szCs w:val="22"/>
        </w:rPr>
        <w:t xml:space="preserve"> </w:t>
      </w:r>
      <w:r w:rsidRPr="00CC4118">
        <w:rPr>
          <w:rFonts w:cs="Arial"/>
          <w:szCs w:val="22"/>
        </w:rPr>
        <w:t>n</w:t>
      </w:r>
      <w:r w:rsidR="00EA2F5B">
        <w:rPr>
          <w:rFonts w:cs="Arial"/>
          <w:szCs w:val="22"/>
        </w:rPr>
        <w:t>o</w:t>
      </w:r>
      <w:r w:rsidRPr="00CC4118">
        <w:rPr>
          <w:rFonts w:cs="Arial"/>
          <w:szCs w:val="22"/>
        </w:rPr>
        <w:t xml:space="preserve">t already done so. After uploading the data, generate new data sets in NHSN by following the </w:t>
      </w:r>
      <w:hyperlink r:id="rId15" w:history="1">
        <w:r w:rsidRPr="006E74DF">
          <w:rPr>
            <w:rStyle w:val="Hyperlink"/>
            <w:rFonts w:cs="Arial"/>
            <w:color w:val="2A6CA8" w:themeColor="background2" w:themeShade="80"/>
            <w:szCs w:val="22"/>
          </w:rPr>
          <w:t>guidance for data set generation</w:t>
        </w:r>
      </w:hyperlink>
      <w:r w:rsidRPr="00CC4118">
        <w:rPr>
          <w:rFonts w:cs="Arial"/>
          <w:szCs w:val="22"/>
        </w:rPr>
        <w:t xml:space="preserve">. </w:t>
      </w:r>
      <w:r w:rsidRPr="00CC4118">
        <w:rPr>
          <w:rFonts w:eastAsia="Calibri" w:cs="Arial"/>
          <w:szCs w:val="22"/>
        </w:rPr>
        <w:t>Please review “</w:t>
      </w:r>
      <w:hyperlink r:id="rId16" w:history="1">
        <w:r w:rsidRPr="006E74DF">
          <w:rPr>
            <w:rStyle w:val="Hyperlink"/>
            <w:rFonts w:eastAsia="Calibri" w:cs="Arial"/>
            <w:color w:val="2A6CA8" w:themeColor="background2" w:themeShade="80"/>
            <w:szCs w:val="22"/>
          </w:rPr>
          <w:t>How to Modify a Report</w:t>
        </w:r>
      </w:hyperlink>
      <w:r w:rsidRPr="00CC4118">
        <w:rPr>
          <w:rFonts w:eastAsia="Calibri" w:cs="Arial"/>
          <w:szCs w:val="22"/>
        </w:rPr>
        <w:t>” for a general explanation of modifying reports within NHSN.</w:t>
      </w:r>
      <w:r w:rsidRPr="00CC4118">
        <w:rPr>
          <w:rFonts w:cs="Arial"/>
          <w:i/>
          <w:iCs/>
          <w:szCs w:val="22"/>
        </w:rPr>
        <w:t xml:space="preserve"> </w:t>
      </w:r>
    </w:p>
    <w:p w14:paraId="0C3EB710" w14:textId="77777777" w:rsidR="008F1ACA" w:rsidRDefault="008F1ACA" w:rsidP="00C12D3A">
      <w:pPr>
        <w:spacing w:before="0" w:after="0" w:line="240" w:lineRule="auto"/>
        <w:rPr>
          <w:rFonts w:cs="Arial"/>
          <w:i/>
          <w:iCs/>
          <w:szCs w:val="22"/>
        </w:rPr>
      </w:pPr>
    </w:p>
    <w:p w14:paraId="28B94B53" w14:textId="71FE8E0E" w:rsidR="007D114F" w:rsidRPr="005E5B36" w:rsidRDefault="004E4FB7" w:rsidP="00C12D3A">
      <w:pPr>
        <w:spacing w:before="0" w:after="0" w:line="240" w:lineRule="auto"/>
        <w:rPr>
          <w:rFonts w:cs="Arial"/>
          <w:szCs w:val="22"/>
        </w:rPr>
      </w:pPr>
      <w:r w:rsidRPr="005E5B36">
        <w:rPr>
          <w:rFonts w:cs="Arial"/>
          <w:b/>
          <w:bCs/>
          <w:szCs w:val="22"/>
        </w:rPr>
        <w:t>Note</w:t>
      </w:r>
      <w:r w:rsidRPr="005E5B36">
        <w:rPr>
          <w:rFonts w:cs="Arial"/>
          <w:szCs w:val="22"/>
        </w:rPr>
        <w:t>:</w:t>
      </w:r>
      <w:r w:rsidR="007D114F" w:rsidRPr="005E5B36">
        <w:rPr>
          <w:rFonts w:cs="Arial"/>
          <w:szCs w:val="22"/>
        </w:rPr>
        <w:t xml:space="preserve"> </w:t>
      </w:r>
      <w:r w:rsidR="004342E2">
        <w:rPr>
          <w:rFonts w:cs="Arial"/>
          <w:szCs w:val="22"/>
        </w:rPr>
        <w:t>I</w:t>
      </w:r>
      <w:r w:rsidR="007D114F" w:rsidRPr="005E5B36">
        <w:rPr>
          <w:rFonts w:cs="Arial"/>
          <w:szCs w:val="22"/>
        </w:rPr>
        <w:t>f you identify any data anomalies and need to update the record, be sure to delete the existing AU Summary record and upload the corrected file.</w:t>
      </w:r>
    </w:p>
    <w:p w14:paraId="678B7CED" w14:textId="77777777" w:rsidR="007D114F" w:rsidRPr="00AB4C76" w:rsidRDefault="007D114F" w:rsidP="00C12D3A">
      <w:pPr>
        <w:spacing w:before="0" w:after="0" w:line="240" w:lineRule="auto"/>
        <w:rPr>
          <w:rFonts w:eastAsiaTheme="majorEastAsia" w:cstheme="majorBidi"/>
          <w:b/>
          <w:color w:val="004050" w:themeColor="accent2" w:themeShade="80"/>
          <w:szCs w:val="22"/>
        </w:rPr>
      </w:pPr>
    </w:p>
    <w:p w14:paraId="6D447EC4" w14:textId="77777777" w:rsidR="007D114F" w:rsidRDefault="007D114F" w:rsidP="00C12D3A">
      <w:pPr>
        <w:pStyle w:val="Heading2"/>
        <w:spacing w:before="0" w:after="0" w:line="240" w:lineRule="auto"/>
        <w:rPr>
          <w:color w:val="47264F" w:themeColor="accent5"/>
          <w:sz w:val="26"/>
          <w:szCs w:val="26"/>
        </w:rPr>
      </w:pPr>
      <w:bookmarkStart w:id="2" w:name="_1._Use_the"/>
      <w:bookmarkEnd w:id="2"/>
      <w:r>
        <w:rPr>
          <w:bCs/>
          <w:color w:val="47264F" w:themeColor="accent5"/>
          <w:sz w:val="26"/>
          <w:szCs w:val="26"/>
        </w:rPr>
        <w:t>1</w:t>
      </w:r>
      <w:r w:rsidRPr="00B45EAD">
        <w:rPr>
          <w:bCs/>
          <w:color w:val="47264F" w:themeColor="accent5"/>
          <w:sz w:val="26"/>
          <w:szCs w:val="26"/>
        </w:rPr>
        <w:t>.</w:t>
      </w:r>
      <w:r>
        <w:rPr>
          <w:color w:val="47264F" w:themeColor="accent5"/>
          <w:sz w:val="26"/>
          <w:szCs w:val="26"/>
        </w:rPr>
        <w:t xml:space="preserve"> </w:t>
      </w:r>
      <w:r w:rsidRPr="00CC4118">
        <w:rPr>
          <w:color w:val="47264F" w:themeColor="accent5"/>
          <w:sz w:val="26"/>
          <w:szCs w:val="26"/>
        </w:rPr>
        <w:t>Use the AU Option Data Quality Line List within NHSN</w:t>
      </w:r>
    </w:p>
    <w:p w14:paraId="77C009E7" w14:textId="77777777" w:rsidR="007D114F" w:rsidRDefault="007D114F">
      <w:pPr>
        <w:pStyle w:val="BulletsCDC"/>
        <w:numPr>
          <w:ilvl w:val="0"/>
          <w:numId w:val="0"/>
        </w:numPr>
        <w:spacing w:after="0" w:line="240" w:lineRule="auto"/>
        <w:ind w:right="0"/>
        <w:rPr>
          <w:rFonts w:cs="Arial"/>
          <w:szCs w:val="22"/>
        </w:rPr>
      </w:pPr>
    </w:p>
    <w:p w14:paraId="1D48E7EB" w14:textId="2D17EEE5" w:rsidR="007D114F" w:rsidRDefault="007D114F" w:rsidP="00B70C63">
      <w:pPr>
        <w:pStyle w:val="BulletsCDC"/>
        <w:numPr>
          <w:ilvl w:val="0"/>
          <w:numId w:val="0"/>
        </w:numPr>
        <w:spacing w:after="0" w:line="240" w:lineRule="auto"/>
        <w:ind w:right="0"/>
        <w:rPr>
          <w:rFonts w:cs="Arial"/>
          <w:szCs w:val="22"/>
        </w:rPr>
      </w:pPr>
      <w:r w:rsidRPr="00CC4118">
        <w:rPr>
          <w:rFonts w:cs="Arial"/>
          <w:b/>
          <w:bCs/>
          <w:szCs w:val="22"/>
        </w:rPr>
        <w:t>Methodology</w:t>
      </w:r>
      <w:r w:rsidRPr="00CC4118">
        <w:rPr>
          <w:rFonts w:cs="Arial"/>
          <w:szCs w:val="22"/>
        </w:rPr>
        <w:t>: The AU Option Data Quality Line List provides facilities with a quick way to assess six potential data quality issues.</w:t>
      </w:r>
    </w:p>
    <w:p w14:paraId="71344707" w14:textId="77777777" w:rsidR="002F289B" w:rsidRPr="00CC4118" w:rsidRDefault="002F289B" w:rsidP="00B70C63">
      <w:pPr>
        <w:pStyle w:val="BulletsCDC"/>
        <w:numPr>
          <w:ilvl w:val="0"/>
          <w:numId w:val="0"/>
        </w:numPr>
        <w:spacing w:after="0" w:line="240" w:lineRule="auto"/>
        <w:ind w:right="0"/>
        <w:rPr>
          <w:rFonts w:cs="Arial"/>
          <w:szCs w:val="22"/>
        </w:rPr>
      </w:pPr>
    </w:p>
    <w:p w14:paraId="10F5E5BC" w14:textId="77777777" w:rsidR="007D114F" w:rsidRPr="00CC4118" w:rsidRDefault="007D114F" w:rsidP="00C12D3A">
      <w:pPr>
        <w:pStyle w:val="BulletsCDC"/>
        <w:numPr>
          <w:ilvl w:val="0"/>
          <w:numId w:val="0"/>
        </w:numPr>
        <w:spacing w:after="0" w:line="240" w:lineRule="auto"/>
        <w:ind w:left="720" w:right="0" w:hanging="360"/>
        <w:rPr>
          <w:rFonts w:cs="Arial"/>
          <w:szCs w:val="22"/>
        </w:rPr>
      </w:pPr>
      <w:r w:rsidRPr="00CC4118">
        <w:rPr>
          <w:rFonts w:cs="Arial"/>
          <w:szCs w:val="22"/>
        </w:rPr>
        <w:t>1)</w:t>
      </w:r>
      <w:r w:rsidRPr="00CC4118">
        <w:rPr>
          <w:rFonts w:cs="Arial"/>
          <w:szCs w:val="22"/>
        </w:rPr>
        <w:tab/>
        <w:t>Zero or missing antimicrobial days</w:t>
      </w:r>
    </w:p>
    <w:p w14:paraId="447B1C16" w14:textId="77777777" w:rsidR="007D114F" w:rsidRPr="00CC4118" w:rsidRDefault="007D114F" w:rsidP="00C12D3A">
      <w:pPr>
        <w:pStyle w:val="BulletsCDC"/>
        <w:numPr>
          <w:ilvl w:val="0"/>
          <w:numId w:val="0"/>
        </w:numPr>
        <w:spacing w:after="0" w:line="240" w:lineRule="auto"/>
        <w:ind w:left="720" w:right="0" w:hanging="360"/>
        <w:rPr>
          <w:rFonts w:cs="Arial"/>
          <w:szCs w:val="22"/>
        </w:rPr>
      </w:pPr>
      <w:r w:rsidRPr="00CC4118">
        <w:rPr>
          <w:rFonts w:cs="Arial"/>
          <w:szCs w:val="22"/>
        </w:rPr>
        <w:t>2)</w:t>
      </w:r>
      <w:r w:rsidRPr="00CC4118">
        <w:rPr>
          <w:rFonts w:cs="Arial"/>
          <w:szCs w:val="22"/>
        </w:rPr>
        <w:tab/>
        <w:t>Antimicrobial days reported when patients were not present</w:t>
      </w:r>
    </w:p>
    <w:p w14:paraId="41F15A13" w14:textId="77777777" w:rsidR="007D114F" w:rsidRPr="00CC4118" w:rsidRDefault="007D114F" w:rsidP="00C12D3A">
      <w:pPr>
        <w:pStyle w:val="BulletsCDC"/>
        <w:numPr>
          <w:ilvl w:val="0"/>
          <w:numId w:val="0"/>
        </w:numPr>
        <w:spacing w:after="0" w:line="240" w:lineRule="auto"/>
        <w:ind w:left="720" w:right="0" w:hanging="360"/>
        <w:rPr>
          <w:rFonts w:cs="Arial"/>
          <w:szCs w:val="22"/>
        </w:rPr>
      </w:pPr>
      <w:r w:rsidRPr="00CC4118">
        <w:rPr>
          <w:rFonts w:cs="Arial"/>
          <w:szCs w:val="22"/>
        </w:rPr>
        <w:t>3)</w:t>
      </w:r>
      <w:r w:rsidRPr="00CC4118">
        <w:rPr>
          <w:rFonts w:cs="Arial"/>
          <w:szCs w:val="22"/>
        </w:rPr>
        <w:tab/>
        <w:t>Antimicrobial days greater than or equal to days present</w:t>
      </w:r>
    </w:p>
    <w:p w14:paraId="63195BD3" w14:textId="77777777" w:rsidR="007D114F" w:rsidRPr="00CC4118" w:rsidRDefault="007D114F" w:rsidP="00C12D3A">
      <w:pPr>
        <w:pStyle w:val="BulletsCDC"/>
        <w:numPr>
          <w:ilvl w:val="0"/>
          <w:numId w:val="0"/>
        </w:numPr>
        <w:spacing w:after="0" w:line="240" w:lineRule="auto"/>
        <w:ind w:left="720" w:right="0" w:hanging="360"/>
        <w:rPr>
          <w:rFonts w:cs="Arial"/>
          <w:szCs w:val="22"/>
        </w:rPr>
      </w:pPr>
      <w:r w:rsidRPr="00CC4118">
        <w:rPr>
          <w:rFonts w:cs="Arial"/>
          <w:szCs w:val="22"/>
        </w:rPr>
        <w:t>4)</w:t>
      </w:r>
      <w:r w:rsidRPr="00CC4118">
        <w:rPr>
          <w:rFonts w:cs="Arial"/>
          <w:szCs w:val="22"/>
        </w:rPr>
        <w:tab/>
        <w:t xml:space="preserve">Sum of the routes of administration less than total antimicrobial days </w:t>
      </w:r>
    </w:p>
    <w:p w14:paraId="5EE48E15" w14:textId="0D503405" w:rsidR="007D114F" w:rsidRPr="00CC4118" w:rsidRDefault="007D114F" w:rsidP="00C12D3A">
      <w:pPr>
        <w:pStyle w:val="BulletsCDC"/>
        <w:numPr>
          <w:ilvl w:val="0"/>
          <w:numId w:val="0"/>
        </w:numPr>
        <w:spacing w:after="0" w:line="240" w:lineRule="auto"/>
        <w:ind w:left="720" w:right="0" w:hanging="360"/>
        <w:rPr>
          <w:rFonts w:cs="Arial"/>
          <w:szCs w:val="22"/>
        </w:rPr>
      </w:pPr>
      <w:r w:rsidRPr="00CC4118">
        <w:rPr>
          <w:rFonts w:cs="Arial"/>
          <w:szCs w:val="22"/>
        </w:rPr>
        <w:t>5)</w:t>
      </w:r>
      <w:r w:rsidRPr="00CC4118">
        <w:rPr>
          <w:rFonts w:cs="Arial"/>
          <w:szCs w:val="22"/>
        </w:rPr>
        <w:tab/>
      </w:r>
      <w:r w:rsidR="00374002">
        <w:rPr>
          <w:rFonts w:cs="Arial"/>
          <w:szCs w:val="22"/>
        </w:rPr>
        <w:t>A</w:t>
      </w:r>
      <w:r w:rsidRPr="00CC4118">
        <w:rPr>
          <w:rFonts w:cs="Arial"/>
          <w:szCs w:val="22"/>
        </w:rPr>
        <w:t xml:space="preserve">ntimicrobial days </w:t>
      </w:r>
      <w:r w:rsidR="00374002">
        <w:rPr>
          <w:rFonts w:cs="Arial"/>
          <w:szCs w:val="22"/>
        </w:rPr>
        <w:t xml:space="preserve">for </w:t>
      </w:r>
      <w:r w:rsidR="00374002">
        <w:t>facility-wide inpatient (</w:t>
      </w:r>
      <w:r w:rsidR="00374002" w:rsidRPr="00CC4118">
        <w:rPr>
          <w:rFonts w:cs="Arial"/>
          <w:szCs w:val="22"/>
        </w:rPr>
        <w:t>FacWideIN</w:t>
      </w:r>
      <w:r w:rsidR="00374002">
        <w:rPr>
          <w:rFonts w:cs="Arial"/>
          <w:szCs w:val="22"/>
        </w:rPr>
        <w:t>)</w:t>
      </w:r>
      <w:r w:rsidR="00374002" w:rsidRPr="00CC4118">
        <w:rPr>
          <w:rFonts w:cs="Arial"/>
          <w:szCs w:val="22"/>
        </w:rPr>
        <w:t xml:space="preserve"> </w:t>
      </w:r>
      <w:r w:rsidRPr="00CC4118">
        <w:rPr>
          <w:rFonts w:cs="Arial"/>
          <w:szCs w:val="22"/>
        </w:rPr>
        <w:t>greater than the sum of antimicrobial days for all inpatient locations</w:t>
      </w:r>
    </w:p>
    <w:p w14:paraId="012BB312" w14:textId="6FD3D7F6" w:rsidR="007D114F" w:rsidRPr="00CC4118" w:rsidRDefault="007D114F" w:rsidP="00B70C63">
      <w:pPr>
        <w:pStyle w:val="BulletsCDC"/>
        <w:numPr>
          <w:ilvl w:val="0"/>
          <w:numId w:val="0"/>
        </w:numPr>
        <w:spacing w:after="0" w:line="240" w:lineRule="auto"/>
        <w:ind w:left="720" w:right="0" w:hanging="360"/>
        <w:rPr>
          <w:rFonts w:cs="Arial"/>
          <w:szCs w:val="22"/>
        </w:rPr>
      </w:pPr>
      <w:r w:rsidRPr="00CC4118">
        <w:rPr>
          <w:rFonts w:cs="Arial"/>
          <w:szCs w:val="22"/>
        </w:rPr>
        <w:t>6)</w:t>
      </w:r>
      <w:r w:rsidRPr="00CC4118">
        <w:rPr>
          <w:rFonts w:cs="Arial"/>
          <w:szCs w:val="22"/>
        </w:rPr>
        <w:tab/>
      </w:r>
      <w:r w:rsidR="00233FC5">
        <w:rPr>
          <w:rFonts w:cs="Arial"/>
          <w:szCs w:val="22"/>
        </w:rPr>
        <w:t>D</w:t>
      </w:r>
      <w:r w:rsidRPr="00CC4118">
        <w:rPr>
          <w:rFonts w:cs="Arial"/>
          <w:szCs w:val="22"/>
        </w:rPr>
        <w:t xml:space="preserve">ays present </w:t>
      </w:r>
      <w:r w:rsidR="00233FC5">
        <w:rPr>
          <w:rFonts w:cs="Arial"/>
          <w:szCs w:val="22"/>
        </w:rPr>
        <w:t xml:space="preserve">for </w:t>
      </w:r>
      <w:r w:rsidR="00233FC5" w:rsidRPr="00CC4118">
        <w:rPr>
          <w:rFonts w:cs="Arial"/>
          <w:szCs w:val="22"/>
        </w:rPr>
        <w:t xml:space="preserve">FacWideIN </w:t>
      </w:r>
      <w:r w:rsidRPr="00CC4118">
        <w:rPr>
          <w:rFonts w:cs="Arial"/>
          <w:szCs w:val="22"/>
        </w:rPr>
        <w:t>greater than the sum of days present for all inpatient locations</w:t>
      </w:r>
    </w:p>
    <w:p w14:paraId="04815B30" w14:textId="77777777" w:rsidR="007D114F" w:rsidRPr="00CC4118" w:rsidRDefault="007D114F" w:rsidP="00B70C63">
      <w:pPr>
        <w:pStyle w:val="BulletsCDC"/>
        <w:numPr>
          <w:ilvl w:val="0"/>
          <w:numId w:val="0"/>
        </w:numPr>
        <w:spacing w:after="0" w:line="240" w:lineRule="auto"/>
        <w:ind w:right="0"/>
        <w:rPr>
          <w:rFonts w:cs="Arial"/>
          <w:szCs w:val="22"/>
        </w:rPr>
      </w:pPr>
    </w:p>
    <w:p w14:paraId="7193E2E7" w14:textId="7D505AFC" w:rsidR="007D114F" w:rsidRPr="00CC4118" w:rsidRDefault="007D114F" w:rsidP="00B70C63">
      <w:pPr>
        <w:pStyle w:val="BulletsCDC"/>
        <w:numPr>
          <w:ilvl w:val="0"/>
          <w:numId w:val="0"/>
        </w:numPr>
        <w:tabs>
          <w:tab w:val="left" w:pos="90"/>
        </w:tabs>
        <w:spacing w:after="0" w:line="240" w:lineRule="auto"/>
        <w:ind w:right="0"/>
        <w:rPr>
          <w:rFonts w:cs="Arial"/>
          <w:szCs w:val="22"/>
        </w:rPr>
      </w:pPr>
      <w:r w:rsidRPr="00CC4118">
        <w:rPr>
          <w:rFonts w:cs="Arial"/>
          <w:szCs w:val="22"/>
        </w:rPr>
        <w:t xml:space="preserve">Run the </w:t>
      </w:r>
      <w:hyperlink r:id="rId17" w:history="1">
        <w:r w:rsidRPr="006E74DF">
          <w:rPr>
            <w:rStyle w:val="Hyperlink"/>
            <w:rFonts w:cs="Arial"/>
            <w:color w:val="2A6CA8" w:themeColor="background2" w:themeShade="80"/>
            <w:szCs w:val="22"/>
          </w:rPr>
          <w:t>Data Quality Line List</w:t>
        </w:r>
      </w:hyperlink>
      <w:r w:rsidRPr="00CC4118">
        <w:rPr>
          <w:rFonts w:cs="Arial"/>
          <w:szCs w:val="22"/>
        </w:rPr>
        <w:t xml:space="preserve"> within the NHSN application to check if any of the six potential data quality issues are present in your data. Within the </w:t>
      </w:r>
      <w:hyperlink r:id="rId18" w:history="1">
        <w:r w:rsidRPr="006E74DF">
          <w:rPr>
            <w:rStyle w:val="Hyperlink"/>
            <w:rFonts w:cs="Arial"/>
            <w:color w:val="2A6CA8" w:themeColor="background2" w:themeShade="80"/>
            <w:szCs w:val="22"/>
          </w:rPr>
          <w:t>document</w:t>
        </w:r>
      </w:hyperlink>
      <w:r w:rsidRPr="00CC4118">
        <w:rPr>
          <w:rFonts w:cs="Arial"/>
          <w:szCs w:val="22"/>
        </w:rPr>
        <w:t>, you’ll also find guidance for interpreting your output and next steps for how to address the data quality issues.</w:t>
      </w:r>
    </w:p>
    <w:p w14:paraId="5174B288" w14:textId="77777777" w:rsidR="007D114F" w:rsidRPr="00CC4118" w:rsidRDefault="007D114F" w:rsidP="00B70C63">
      <w:pPr>
        <w:pStyle w:val="BulletsCDC"/>
        <w:numPr>
          <w:ilvl w:val="0"/>
          <w:numId w:val="0"/>
        </w:numPr>
        <w:tabs>
          <w:tab w:val="left" w:pos="90"/>
        </w:tabs>
        <w:spacing w:after="0" w:line="240" w:lineRule="auto"/>
        <w:ind w:right="0"/>
        <w:rPr>
          <w:rFonts w:cs="Arial"/>
          <w:szCs w:val="22"/>
        </w:rPr>
      </w:pPr>
    </w:p>
    <w:p w14:paraId="04F1FAAE" w14:textId="77777777" w:rsidR="007D114F" w:rsidRDefault="007D114F" w:rsidP="00B70C63">
      <w:pPr>
        <w:pStyle w:val="BulletsCDC"/>
        <w:numPr>
          <w:ilvl w:val="0"/>
          <w:numId w:val="0"/>
        </w:numPr>
        <w:tabs>
          <w:tab w:val="left" w:pos="90"/>
        </w:tabs>
        <w:spacing w:after="0" w:line="240" w:lineRule="auto"/>
        <w:ind w:right="0"/>
        <w:rPr>
          <w:rFonts w:cs="Arial"/>
          <w:szCs w:val="22"/>
        </w:rPr>
      </w:pPr>
      <w:r w:rsidRPr="00CC4118">
        <w:rPr>
          <w:rFonts w:cs="Arial"/>
          <w:b/>
          <w:bCs/>
          <w:szCs w:val="22"/>
        </w:rPr>
        <w:t>Note</w:t>
      </w:r>
      <w:r w:rsidRPr="00CC4118">
        <w:rPr>
          <w:rFonts w:cs="Arial"/>
          <w:szCs w:val="22"/>
        </w:rPr>
        <w:t>: If NHSN does not identify one of the six potential data quality issues in your facility’s AU data, NHSN will generate one of the following messages (depending on whether the report was modified):</w:t>
      </w:r>
    </w:p>
    <w:p w14:paraId="42531483" w14:textId="77777777" w:rsidR="005C64AB" w:rsidRDefault="005C64AB" w:rsidP="00B70C63">
      <w:pPr>
        <w:pStyle w:val="BulletsCDC"/>
        <w:numPr>
          <w:ilvl w:val="0"/>
          <w:numId w:val="0"/>
        </w:numPr>
        <w:tabs>
          <w:tab w:val="left" w:pos="90"/>
        </w:tabs>
        <w:spacing w:after="0" w:line="240" w:lineRule="auto"/>
        <w:ind w:right="0"/>
        <w:rPr>
          <w:rFonts w:cs="Arial"/>
          <w:szCs w:val="22"/>
        </w:rPr>
      </w:pPr>
    </w:p>
    <w:p w14:paraId="522A8E92" w14:textId="77777777" w:rsidR="007D114F" w:rsidRDefault="007D114F" w:rsidP="00B70C63">
      <w:pPr>
        <w:pStyle w:val="BulletsCDC"/>
        <w:numPr>
          <w:ilvl w:val="0"/>
          <w:numId w:val="0"/>
        </w:numPr>
        <w:spacing w:after="0" w:line="240" w:lineRule="auto"/>
        <w:ind w:left="144" w:right="0"/>
        <w:jc w:val="both"/>
        <w:rPr>
          <w:rFonts w:cs="Arial"/>
          <w:szCs w:val="22"/>
        </w:rPr>
      </w:pPr>
      <w:r>
        <w:rPr>
          <w:noProof/>
          <w:sz w:val="21"/>
          <w:szCs w:val="21"/>
        </w:rPr>
        <w:drawing>
          <wp:inline distT="0" distB="0" distL="0" distR="0" wp14:anchorId="03A61ACF" wp14:editId="08AA0A11">
            <wp:extent cx="6275439" cy="1642945"/>
            <wp:effectExtent l="0" t="0" r="0" b="0"/>
            <wp:docPr id="915893365" name="Picture 915893365" descr="Screenshot of error message generated when NHSN did not identify one of the six potential data quality issues. Error messages read: &quot;No Records Met Your Criteria. Please check your time period and/or filter criteria.&quot; and &quot;No Records in Analysis Dataset: AU_DataQuality. Please check the date that Analysis Datasets were last generated and generate new ones if necessar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93365" name="Picture 915893365" descr="Screenshot of error message generated when NHSN did not identify one of the six potential data quality issues. Error messages read: &quot;No Records Met Your Criteria. Please check your time period and/or filter criteria.&quot; and &quot;No Records in Analysis Dataset: AU_DataQuality. Please check the date that Analysis Datasets were last generated and generate new ones if necessary.&quo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5544" cy="1648209"/>
                    </a:xfrm>
                    <a:prstGeom prst="rect">
                      <a:avLst/>
                    </a:prstGeom>
                    <a:noFill/>
                    <a:ln>
                      <a:noFill/>
                    </a:ln>
                  </pic:spPr>
                </pic:pic>
              </a:graphicData>
            </a:graphic>
          </wp:inline>
        </w:drawing>
      </w:r>
    </w:p>
    <w:p w14:paraId="45AC5B11" w14:textId="77777777" w:rsidR="007D114F" w:rsidRDefault="007D114F" w:rsidP="00B70C63">
      <w:pPr>
        <w:pStyle w:val="BulletsCDC"/>
        <w:numPr>
          <w:ilvl w:val="0"/>
          <w:numId w:val="0"/>
        </w:numPr>
        <w:spacing w:after="0" w:line="240" w:lineRule="auto"/>
        <w:ind w:left="144" w:right="0"/>
        <w:rPr>
          <w:rFonts w:cs="Arial"/>
          <w:szCs w:val="22"/>
        </w:rPr>
      </w:pPr>
    </w:p>
    <w:p w14:paraId="002E87D3" w14:textId="77777777" w:rsidR="007D114F" w:rsidRDefault="007D114F" w:rsidP="00C12D3A">
      <w:pPr>
        <w:pStyle w:val="Heading2"/>
        <w:spacing w:before="0" w:after="0" w:line="240" w:lineRule="auto"/>
        <w:rPr>
          <w:color w:val="47264F" w:themeColor="accent5"/>
          <w:sz w:val="26"/>
          <w:szCs w:val="26"/>
        </w:rPr>
      </w:pPr>
      <w:bookmarkStart w:id="3" w:name="_2._Ensure_complete"/>
      <w:bookmarkEnd w:id="3"/>
      <w:r>
        <w:rPr>
          <w:bCs/>
          <w:color w:val="47264F" w:themeColor="accent5"/>
          <w:sz w:val="26"/>
          <w:szCs w:val="26"/>
        </w:rPr>
        <w:t>2</w:t>
      </w:r>
      <w:r w:rsidRPr="00B45EAD">
        <w:rPr>
          <w:bCs/>
          <w:color w:val="47264F" w:themeColor="accent5"/>
          <w:sz w:val="26"/>
          <w:szCs w:val="26"/>
        </w:rPr>
        <w:t>.</w:t>
      </w:r>
      <w:r>
        <w:rPr>
          <w:color w:val="47264F" w:themeColor="accent5"/>
          <w:sz w:val="26"/>
          <w:szCs w:val="26"/>
        </w:rPr>
        <w:t xml:space="preserve"> </w:t>
      </w:r>
      <w:r w:rsidRPr="00CC4118">
        <w:rPr>
          <w:color w:val="47264F" w:themeColor="accent5"/>
          <w:sz w:val="26"/>
          <w:szCs w:val="26"/>
        </w:rPr>
        <w:t>Ensure complete and accurate mapping for routes of administration</w:t>
      </w:r>
    </w:p>
    <w:p w14:paraId="141D6BAB" w14:textId="77777777" w:rsidR="007D114F" w:rsidRDefault="007D114F" w:rsidP="00B70C63">
      <w:pPr>
        <w:pStyle w:val="BulletsCDC"/>
        <w:numPr>
          <w:ilvl w:val="0"/>
          <w:numId w:val="0"/>
        </w:numPr>
        <w:spacing w:after="0" w:line="240" w:lineRule="auto"/>
        <w:ind w:right="0"/>
        <w:rPr>
          <w:rFonts w:cs="Arial"/>
          <w:szCs w:val="22"/>
        </w:rPr>
      </w:pPr>
    </w:p>
    <w:p w14:paraId="009F55F2" w14:textId="0A9B2E84" w:rsidR="007D114F" w:rsidRDefault="007D114F" w:rsidP="00B70C63">
      <w:pPr>
        <w:pStyle w:val="BulletsCDC"/>
        <w:numPr>
          <w:ilvl w:val="0"/>
          <w:numId w:val="0"/>
        </w:numPr>
        <w:spacing w:after="0" w:line="240" w:lineRule="auto"/>
        <w:ind w:right="0"/>
        <w:rPr>
          <w:rFonts w:cs="Arial"/>
          <w:szCs w:val="22"/>
        </w:rPr>
      </w:pPr>
      <w:r w:rsidRPr="00CC4118">
        <w:rPr>
          <w:rFonts w:cs="Arial"/>
          <w:b/>
          <w:bCs/>
          <w:szCs w:val="22"/>
        </w:rPr>
        <w:t>Methodology</w:t>
      </w:r>
      <w:r w:rsidRPr="00CC4118">
        <w:rPr>
          <w:rFonts w:cs="Arial"/>
          <w:szCs w:val="22"/>
        </w:rPr>
        <w:t>: This section asks you to review the mapping for drugs with multiple or unusual routes of administration. It’s important to ensure administrations are being captured via the correct routes as some AU SAAR calculations use route-specific antimicrobial days. Generate a line list within NHSN using the “</w:t>
      </w:r>
      <w:hyperlink r:id="rId20" w:history="1">
        <w:r w:rsidR="00045D91" w:rsidRPr="006E74DF">
          <w:rPr>
            <w:rStyle w:val="Hyperlink"/>
            <w:rFonts w:cs="Arial"/>
            <w:color w:val="2A6CA8" w:themeColor="background2" w:themeShade="80"/>
          </w:rPr>
          <w:t>Line Listing – All Submitted AU data by Location</w:t>
        </w:r>
      </w:hyperlink>
      <w:r w:rsidRPr="00CC4118">
        <w:rPr>
          <w:rFonts w:cs="Arial"/>
          <w:szCs w:val="22"/>
        </w:rPr>
        <w:t>” report. Use the line list to review the following scenarios in the table below. We recommend confirming at least one drug in each grouping.</w:t>
      </w:r>
      <w:r>
        <w:rPr>
          <w:rFonts w:cs="Arial"/>
          <w:szCs w:val="22"/>
        </w:rPr>
        <w:br w:type="page"/>
      </w:r>
    </w:p>
    <w:tbl>
      <w:tblPr>
        <w:tblStyle w:val="TableGrid"/>
        <w:tblW w:w="4960" w:type="pct"/>
        <w:tblInd w:w="-5" w:type="dxa"/>
        <w:tblLook w:val="04A0" w:firstRow="1" w:lastRow="0" w:firstColumn="1" w:lastColumn="0" w:noHBand="0" w:noVBand="1"/>
      </w:tblPr>
      <w:tblGrid>
        <w:gridCol w:w="2250"/>
        <w:gridCol w:w="7739"/>
      </w:tblGrid>
      <w:tr w:rsidR="004C4A01" w:rsidRPr="00CC4118" w14:paraId="0BD6D54D" w14:textId="77777777" w:rsidTr="00B70C63">
        <w:tc>
          <w:tcPr>
            <w:tcW w:w="1126" w:type="pct"/>
          </w:tcPr>
          <w:p w14:paraId="7BB0CBCC" w14:textId="77777777" w:rsidR="007D114F" w:rsidRPr="00CC4118" w:rsidRDefault="007D114F" w:rsidP="00C12D3A">
            <w:pPr>
              <w:pStyle w:val="NoSpacing"/>
              <w:rPr>
                <w:rFonts w:ascii="Arial" w:hAnsi="Arial" w:cs="Arial"/>
                <w:b/>
                <w:bCs/>
              </w:rPr>
            </w:pPr>
            <w:r>
              <w:rPr>
                <w:rFonts w:ascii="Arial" w:hAnsi="Arial" w:cs="Arial"/>
                <w:b/>
                <w:bCs/>
              </w:rPr>
              <w:lastRenderedPageBreak/>
              <w:t>Route of Administration</w:t>
            </w:r>
          </w:p>
        </w:tc>
        <w:tc>
          <w:tcPr>
            <w:tcW w:w="3874" w:type="pct"/>
          </w:tcPr>
          <w:p w14:paraId="48875BBA" w14:textId="74E7087F" w:rsidR="007D114F" w:rsidRPr="00CC4118" w:rsidRDefault="007D114F" w:rsidP="00C12D3A">
            <w:pPr>
              <w:pStyle w:val="NoSpacing"/>
              <w:rPr>
                <w:rFonts w:ascii="Arial" w:hAnsi="Arial" w:cs="Arial"/>
                <w:b/>
                <w:bCs/>
              </w:rPr>
            </w:pPr>
            <w:r>
              <w:rPr>
                <w:rFonts w:ascii="Arial" w:hAnsi="Arial" w:cs="Arial"/>
                <w:b/>
                <w:bCs/>
              </w:rPr>
              <w:t xml:space="preserve">Example </w:t>
            </w:r>
            <w:r w:rsidRPr="00CC4118">
              <w:rPr>
                <w:rFonts w:ascii="Arial" w:hAnsi="Arial" w:cs="Arial"/>
                <w:b/>
                <w:bCs/>
              </w:rPr>
              <w:t>Items for Verification</w:t>
            </w:r>
            <w:r>
              <w:rPr>
                <w:rFonts w:ascii="Arial" w:hAnsi="Arial" w:cs="Arial"/>
                <w:b/>
                <w:bCs/>
              </w:rPr>
              <w:t xml:space="preserve"> (if </w:t>
            </w:r>
            <w:r w:rsidR="003D66B6">
              <w:rPr>
                <w:rFonts w:ascii="Arial" w:hAnsi="Arial" w:cs="Arial"/>
                <w:b/>
                <w:bCs/>
              </w:rPr>
              <w:t>a</w:t>
            </w:r>
            <w:r>
              <w:rPr>
                <w:rFonts w:ascii="Arial" w:hAnsi="Arial" w:cs="Arial"/>
                <w:b/>
                <w:bCs/>
              </w:rPr>
              <w:t>pplicable for your Facility)</w:t>
            </w:r>
          </w:p>
        </w:tc>
      </w:tr>
      <w:tr w:rsidR="004C4A01" w:rsidRPr="00CC4118" w14:paraId="2FC21087" w14:textId="77777777" w:rsidTr="00B70C63">
        <w:tc>
          <w:tcPr>
            <w:tcW w:w="1126" w:type="pct"/>
          </w:tcPr>
          <w:p w14:paraId="4BC19F92" w14:textId="77777777" w:rsidR="007D114F" w:rsidRPr="002D04C3" w:rsidRDefault="007D114F" w:rsidP="00C12D3A">
            <w:pPr>
              <w:pStyle w:val="NoSpacing"/>
              <w:rPr>
                <w:rFonts w:ascii="Arial" w:hAnsi="Arial" w:cs="Arial"/>
              </w:rPr>
            </w:pPr>
            <w:r w:rsidRPr="002D04C3">
              <w:rPr>
                <w:rFonts w:ascii="Arial" w:hAnsi="Arial" w:cs="Arial"/>
              </w:rPr>
              <w:t>Intravenous (IV)</w:t>
            </w:r>
          </w:p>
        </w:tc>
        <w:tc>
          <w:tcPr>
            <w:tcW w:w="3874" w:type="pct"/>
          </w:tcPr>
          <w:p w14:paraId="5E139182" w14:textId="77777777" w:rsidR="007D114F" w:rsidRPr="002D04C3" w:rsidRDefault="007D114F" w:rsidP="00C12D3A">
            <w:pPr>
              <w:pStyle w:val="Default"/>
              <w:numPr>
                <w:ilvl w:val="0"/>
                <w:numId w:val="28"/>
              </w:numPr>
              <w:rPr>
                <w:rFonts w:ascii="Arial" w:hAnsi="Arial" w:cs="Arial"/>
              </w:rPr>
            </w:pPr>
            <w:r>
              <w:rPr>
                <w:rFonts w:ascii="Arial" w:hAnsi="Arial" w:cs="Arial"/>
                <w:sz w:val="22"/>
                <w:szCs w:val="22"/>
              </w:rPr>
              <w:t>C</w:t>
            </w:r>
            <w:r w:rsidRPr="002D04C3">
              <w:rPr>
                <w:rFonts w:ascii="Arial" w:hAnsi="Arial" w:cs="Arial"/>
                <w:sz w:val="22"/>
                <w:szCs w:val="22"/>
              </w:rPr>
              <w:t xml:space="preserve">ontinuous or extended infusions (for example, piperacillin/tazobactam, </w:t>
            </w:r>
            <w:proofErr w:type="spellStart"/>
            <w:r w:rsidRPr="002D04C3">
              <w:rPr>
                <w:rFonts w:ascii="Arial" w:hAnsi="Arial" w:cs="Arial"/>
                <w:sz w:val="22"/>
                <w:szCs w:val="22"/>
              </w:rPr>
              <w:t>cefiderocol</w:t>
            </w:r>
            <w:proofErr w:type="spellEnd"/>
            <w:r w:rsidRPr="002D04C3">
              <w:rPr>
                <w:rFonts w:ascii="Arial" w:hAnsi="Arial" w:cs="Arial"/>
                <w:sz w:val="22"/>
                <w:szCs w:val="22"/>
              </w:rPr>
              <w:t>, ceftazidime/avibactam, meropenem/</w:t>
            </w:r>
            <w:proofErr w:type="spellStart"/>
            <w:r w:rsidRPr="002D04C3">
              <w:rPr>
                <w:rFonts w:ascii="Arial" w:hAnsi="Arial" w:cs="Arial"/>
                <w:sz w:val="22"/>
                <w:szCs w:val="22"/>
              </w:rPr>
              <w:t>vaborbactam</w:t>
            </w:r>
            <w:proofErr w:type="spellEnd"/>
            <w:r w:rsidRPr="002D04C3">
              <w:rPr>
                <w:rFonts w:ascii="Arial" w:hAnsi="Arial" w:cs="Arial"/>
                <w:sz w:val="22"/>
                <w:szCs w:val="22"/>
              </w:rPr>
              <w:t xml:space="preserve">) </w:t>
            </w:r>
          </w:p>
        </w:tc>
      </w:tr>
      <w:tr w:rsidR="004C4A01" w:rsidRPr="00CC4118" w14:paraId="53200511" w14:textId="77777777" w:rsidTr="00B70C63">
        <w:tc>
          <w:tcPr>
            <w:tcW w:w="1126" w:type="pct"/>
          </w:tcPr>
          <w:p w14:paraId="4300DEE3" w14:textId="77777777" w:rsidR="007D114F" w:rsidRPr="00694AC5" w:rsidRDefault="007D114F" w:rsidP="00C12D3A">
            <w:pPr>
              <w:pStyle w:val="NoSpacing"/>
              <w:rPr>
                <w:rFonts w:ascii="Arial" w:hAnsi="Arial" w:cs="Arial"/>
              </w:rPr>
            </w:pPr>
            <w:r w:rsidRPr="002D04C3">
              <w:rPr>
                <w:rFonts w:ascii="Arial" w:hAnsi="Arial" w:cs="Arial"/>
              </w:rPr>
              <w:t xml:space="preserve">Intramuscular (IM) </w:t>
            </w:r>
          </w:p>
        </w:tc>
        <w:tc>
          <w:tcPr>
            <w:tcW w:w="3874" w:type="pct"/>
          </w:tcPr>
          <w:p w14:paraId="13738E1F" w14:textId="77777777" w:rsidR="007D114F" w:rsidRPr="00694AC5" w:rsidRDefault="007D114F" w:rsidP="00C12D3A">
            <w:pPr>
              <w:pStyle w:val="NoSpacing"/>
              <w:numPr>
                <w:ilvl w:val="0"/>
                <w:numId w:val="27"/>
              </w:numPr>
              <w:rPr>
                <w:rFonts w:ascii="Arial" w:hAnsi="Arial" w:cs="Arial"/>
              </w:rPr>
            </w:pPr>
            <w:r w:rsidRPr="002D04C3">
              <w:rPr>
                <w:rFonts w:ascii="Arial" w:hAnsi="Arial" w:cs="Arial"/>
              </w:rPr>
              <w:t xml:space="preserve">Ceftriaxone IM usage in the Emergency Department (ED) (often used for treatment of </w:t>
            </w:r>
            <w:r w:rsidRPr="002D04C3">
              <w:rPr>
                <w:rFonts w:ascii="Arial" w:hAnsi="Arial" w:cs="Arial"/>
                <w:i/>
                <w:iCs/>
              </w:rPr>
              <w:t xml:space="preserve">N. gonorrhea </w:t>
            </w:r>
            <w:r w:rsidRPr="002D04C3">
              <w:rPr>
                <w:rFonts w:ascii="Arial" w:hAnsi="Arial" w:cs="Arial"/>
              </w:rPr>
              <w:t xml:space="preserve">in ED setting) </w:t>
            </w:r>
          </w:p>
        </w:tc>
      </w:tr>
      <w:tr w:rsidR="004C4A01" w:rsidRPr="00CC4118" w14:paraId="60ECE9B7" w14:textId="77777777" w:rsidTr="00B70C63">
        <w:tc>
          <w:tcPr>
            <w:tcW w:w="1126" w:type="pct"/>
            <w:vMerge w:val="restart"/>
          </w:tcPr>
          <w:p w14:paraId="0E6F33CC" w14:textId="77777777" w:rsidR="007D114F" w:rsidRPr="00CC4118" w:rsidRDefault="007D114F" w:rsidP="00C12D3A">
            <w:pPr>
              <w:pStyle w:val="NoSpacing"/>
              <w:rPr>
                <w:rFonts w:ascii="Arial" w:hAnsi="Arial" w:cs="Arial"/>
              </w:rPr>
            </w:pPr>
            <w:r>
              <w:rPr>
                <w:rFonts w:ascii="Arial" w:hAnsi="Arial" w:cs="Arial"/>
              </w:rPr>
              <w:t xml:space="preserve">Digestive </w:t>
            </w:r>
          </w:p>
        </w:tc>
        <w:tc>
          <w:tcPr>
            <w:tcW w:w="3874" w:type="pct"/>
          </w:tcPr>
          <w:p w14:paraId="5B22CBAF" w14:textId="77777777" w:rsidR="007D114F" w:rsidRPr="000C0BD3" w:rsidRDefault="007D114F" w:rsidP="00C12D3A">
            <w:pPr>
              <w:pStyle w:val="NoSpacing"/>
              <w:rPr>
                <w:rFonts w:ascii="Arial" w:hAnsi="Arial" w:cs="Arial"/>
              </w:rPr>
            </w:pPr>
            <w:r w:rsidRPr="002D04C3">
              <w:rPr>
                <w:rFonts w:ascii="Arial" w:hAnsi="Arial" w:cs="Arial"/>
              </w:rPr>
              <w:t xml:space="preserve">Vancomycin </w:t>
            </w:r>
            <w:proofErr w:type="gramStart"/>
            <w:r w:rsidRPr="002D04C3">
              <w:rPr>
                <w:rFonts w:ascii="Arial" w:hAnsi="Arial" w:cs="Arial"/>
              </w:rPr>
              <w:t>digestive</w:t>
            </w:r>
            <w:proofErr w:type="gramEnd"/>
            <w:r w:rsidRPr="002D04C3">
              <w:rPr>
                <w:rFonts w:ascii="Arial" w:hAnsi="Arial" w:cs="Arial"/>
              </w:rPr>
              <w:t xml:space="preserve"> includes oral and rectal administrations of vancomycin</w:t>
            </w:r>
            <w:r>
              <w:rPr>
                <w:rFonts w:ascii="Arial" w:hAnsi="Arial" w:cs="Arial"/>
              </w:rPr>
              <w:t>.</w:t>
            </w:r>
          </w:p>
        </w:tc>
      </w:tr>
      <w:tr w:rsidR="004C4A01" w:rsidRPr="00CC4118" w14:paraId="264396BC" w14:textId="77777777" w:rsidTr="00B70C63">
        <w:tc>
          <w:tcPr>
            <w:tcW w:w="1126" w:type="pct"/>
            <w:vMerge/>
          </w:tcPr>
          <w:p w14:paraId="7BCEF5F5" w14:textId="77777777" w:rsidR="007D114F" w:rsidRDefault="007D114F" w:rsidP="00C12D3A">
            <w:pPr>
              <w:pStyle w:val="NoSpacing"/>
              <w:rPr>
                <w:rFonts w:ascii="Arial" w:hAnsi="Arial" w:cs="Arial"/>
              </w:rPr>
            </w:pPr>
          </w:p>
        </w:tc>
        <w:tc>
          <w:tcPr>
            <w:tcW w:w="3874" w:type="pct"/>
          </w:tcPr>
          <w:p w14:paraId="4DBEA819" w14:textId="77777777" w:rsidR="007D114F" w:rsidRPr="004813E0" w:rsidRDefault="007D114F" w:rsidP="00C12D3A">
            <w:pPr>
              <w:pStyle w:val="NoSpacing"/>
              <w:rPr>
                <w:rFonts w:ascii="Arial" w:hAnsi="Arial" w:cs="Arial"/>
              </w:rPr>
            </w:pPr>
            <w:r w:rsidRPr="00A31961">
              <w:rPr>
                <w:rFonts w:ascii="Arial" w:hAnsi="Arial" w:cs="Arial"/>
              </w:rPr>
              <w:t>Nasogastric administration of antimicrobials such as ciprofloxacin</w:t>
            </w:r>
            <w:r>
              <w:rPr>
                <w:rFonts w:ascii="Arial" w:hAnsi="Arial" w:cs="Arial"/>
              </w:rPr>
              <w:t xml:space="preserve"> or levofloxacin</w:t>
            </w:r>
            <w:r w:rsidRPr="00A31961">
              <w:rPr>
                <w:rFonts w:ascii="Arial" w:hAnsi="Arial" w:cs="Arial"/>
              </w:rPr>
              <w:t xml:space="preserve"> is included under the digestive route of administration.</w:t>
            </w:r>
          </w:p>
        </w:tc>
      </w:tr>
      <w:tr w:rsidR="004C4A01" w:rsidRPr="00CC4118" w14:paraId="5D3124A2" w14:textId="77777777" w:rsidTr="00B70C63">
        <w:tc>
          <w:tcPr>
            <w:tcW w:w="1126" w:type="pct"/>
            <w:vMerge w:val="restart"/>
          </w:tcPr>
          <w:p w14:paraId="09FA6100" w14:textId="77777777" w:rsidR="007D114F" w:rsidRPr="00CC4118" w:rsidRDefault="007D114F" w:rsidP="00C12D3A">
            <w:pPr>
              <w:pStyle w:val="NoSpacing"/>
              <w:rPr>
                <w:rFonts w:ascii="Arial" w:hAnsi="Arial" w:cs="Arial"/>
              </w:rPr>
            </w:pPr>
            <w:r>
              <w:rPr>
                <w:rFonts w:ascii="Arial" w:hAnsi="Arial" w:cs="Arial"/>
              </w:rPr>
              <w:t xml:space="preserve">Respiratory </w:t>
            </w:r>
          </w:p>
        </w:tc>
        <w:tc>
          <w:tcPr>
            <w:tcW w:w="3874" w:type="pct"/>
          </w:tcPr>
          <w:p w14:paraId="6567E10A" w14:textId="77777777" w:rsidR="007D114F" w:rsidRPr="00CC4118" w:rsidRDefault="007D114F" w:rsidP="00C12D3A">
            <w:pPr>
              <w:pStyle w:val="NoSpacing"/>
              <w:rPr>
                <w:rFonts w:ascii="Arial" w:hAnsi="Arial" w:cs="Arial"/>
              </w:rPr>
            </w:pPr>
            <w:r>
              <w:rPr>
                <w:rFonts w:ascii="Arial" w:hAnsi="Arial" w:cs="Arial"/>
              </w:rPr>
              <w:t xml:space="preserve">Intrapleural </w:t>
            </w:r>
            <w:r w:rsidRPr="00CC4118">
              <w:rPr>
                <w:rFonts w:ascii="Arial" w:hAnsi="Arial" w:cs="Arial"/>
              </w:rPr>
              <w:t>doxycycline, minocycline, and tetracycline</w:t>
            </w:r>
            <w:r>
              <w:rPr>
                <w:rFonts w:ascii="Arial" w:hAnsi="Arial" w:cs="Arial"/>
              </w:rPr>
              <w:t xml:space="preserve"> should not be included as respiratory route and excluded </w:t>
            </w:r>
            <w:r w:rsidRPr="00CC4118">
              <w:rPr>
                <w:rFonts w:ascii="Arial" w:hAnsi="Arial" w:cs="Arial"/>
              </w:rPr>
              <w:t>from AU rep</w:t>
            </w:r>
            <w:r>
              <w:rPr>
                <w:rFonts w:ascii="Arial" w:hAnsi="Arial" w:cs="Arial"/>
              </w:rPr>
              <w:t>orting.</w:t>
            </w:r>
          </w:p>
        </w:tc>
      </w:tr>
      <w:tr w:rsidR="004C4A01" w:rsidRPr="00CC4118" w14:paraId="22C36A4A" w14:textId="77777777" w:rsidTr="00B70C63">
        <w:tc>
          <w:tcPr>
            <w:tcW w:w="1126" w:type="pct"/>
            <w:vMerge/>
          </w:tcPr>
          <w:p w14:paraId="41573930" w14:textId="77777777" w:rsidR="007D114F" w:rsidRPr="00CC4118" w:rsidRDefault="007D114F" w:rsidP="00C12D3A">
            <w:pPr>
              <w:pStyle w:val="NoSpacing"/>
              <w:rPr>
                <w:rFonts w:ascii="Arial" w:hAnsi="Arial" w:cs="Arial"/>
              </w:rPr>
            </w:pPr>
          </w:p>
        </w:tc>
        <w:tc>
          <w:tcPr>
            <w:tcW w:w="3874" w:type="pct"/>
          </w:tcPr>
          <w:p w14:paraId="4A39B436" w14:textId="77777777" w:rsidR="007D114F" w:rsidRPr="005F3005" w:rsidRDefault="007D114F" w:rsidP="00C12D3A">
            <w:pPr>
              <w:pStyle w:val="NoSpacing"/>
              <w:numPr>
                <w:ilvl w:val="0"/>
                <w:numId w:val="29"/>
              </w:numPr>
              <w:rPr>
                <w:rFonts w:ascii="Arial" w:hAnsi="Arial" w:cs="Arial"/>
              </w:rPr>
            </w:pPr>
            <w:r>
              <w:rPr>
                <w:rFonts w:ascii="Arial" w:hAnsi="Arial" w:cs="Arial"/>
              </w:rPr>
              <w:t>A</w:t>
            </w:r>
            <w:r w:rsidRPr="002D04C3">
              <w:rPr>
                <w:rFonts w:ascii="Arial" w:hAnsi="Arial" w:cs="Arial"/>
              </w:rPr>
              <w:t xml:space="preserve">mikacin, gentamicin, or tobramycin respiratory usage in ICUs or units with patients who have cystic fibrosis or atypical mycobacterial infections </w:t>
            </w:r>
          </w:p>
        </w:tc>
      </w:tr>
      <w:tr w:rsidR="004C4A01" w:rsidRPr="00CC4118" w14:paraId="6886A64F" w14:textId="77777777" w:rsidTr="00B70C63">
        <w:trPr>
          <w:trHeight w:val="1376"/>
        </w:trPr>
        <w:tc>
          <w:tcPr>
            <w:tcW w:w="1126" w:type="pct"/>
            <w:vMerge/>
          </w:tcPr>
          <w:p w14:paraId="3DD15739" w14:textId="77777777" w:rsidR="007D114F" w:rsidRPr="00CC4118" w:rsidRDefault="007D114F" w:rsidP="00C12D3A">
            <w:pPr>
              <w:pStyle w:val="NoSpacing"/>
              <w:rPr>
                <w:rFonts w:ascii="Arial" w:hAnsi="Arial" w:cs="Arial"/>
              </w:rPr>
            </w:pPr>
          </w:p>
        </w:tc>
        <w:tc>
          <w:tcPr>
            <w:tcW w:w="3874" w:type="pct"/>
          </w:tcPr>
          <w:p w14:paraId="230C0458" w14:textId="5E3DDD02" w:rsidR="007D114F" w:rsidRPr="002D04C3" w:rsidRDefault="007D114F" w:rsidP="00C12D3A">
            <w:pPr>
              <w:pStyle w:val="Default"/>
              <w:numPr>
                <w:ilvl w:val="0"/>
                <w:numId w:val="30"/>
              </w:numPr>
              <w:rPr>
                <w:rFonts w:ascii="Arial" w:hAnsi="Arial" w:cs="Arial"/>
                <w:sz w:val="22"/>
                <w:szCs w:val="22"/>
              </w:rPr>
            </w:pPr>
            <w:r>
              <w:rPr>
                <w:rFonts w:ascii="Arial" w:hAnsi="Arial" w:cs="Arial"/>
                <w:sz w:val="22"/>
                <w:szCs w:val="22"/>
              </w:rPr>
              <w:t>Az</w:t>
            </w:r>
            <w:r w:rsidRPr="002D04C3">
              <w:rPr>
                <w:rFonts w:ascii="Arial" w:hAnsi="Arial" w:cs="Arial"/>
                <w:sz w:val="22"/>
                <w:szCs w:val="22"/>
              </w:rPr>
              <w:t>treonam, colistin*, and/or polymyxin B respiratory administrations</w:t>
            </w:r>
            <w:r w:rsidRPr="00344B96">
              <w:rPr>
                <w:sz w:val="21"/>
                <w:szCs w:val="21"/>
              </w:rPr>
              <w:t xml:space="preserve"> </w:t>
            </w:r>
          </w:p>
          <w:p w14:paraId="1F0F6742" w14:textId="77777777" w:rsidR="007D114F" w:rsidRPr="002D04C3" w:rsidRDefault="007D114F" w:rsidP="00C12D3A">
            <w:pPr>
              <w:pStyle w:val="Default"/>
              <w:numPr>
                <w:ilvl w:val="0"/>
                <w:numId w:val="30"/>
              </w:numPr>
              <w:rPr>
                <w:rFonts w:ascii="Arial" w:hAnsi="Arial" w:cs="Arial"/>
                <w:sz w:val="22"/>
                <w:szCs w:val="22"/>
              </w:rPr>
            </w:pPr>
          </w:p>
          <w:p w14:paraId="2CF906CD" w14:textId="2A01D282" w:rsidR="007D114F" w:rsidRPr="002D04C3" w:rsidRDefault="007D114F" w:rsidP="00C12D3A">
            <w:pPr>
              <w:pStyle w:val="Default"/>
              <w:numPr>
                <w:ilvl w:val="0"/>
                <w:numId w:val="30"/>
              </w:numPr>
              <w:rPr>
                <w:rFonts w:ascii="Arial" w:hAnsi="Arial" w:cs="Arial"/>
              </w:rPr>
            </w:pPr>
            <w:r w:rsidRPr="00344B96">
              <w:rPr>
                <w:rFonts w:ascii="Arial" w:hAnsi="Arial" w:cs="Arial"/>
                <w:sz w:val="22"/>
                <w:szCs w:val="22"/>
              </w:rPr>
              <w:t>*</w:t>
            </w:r>
            <w:r w:rsidRPr="00D61984">
              <w:rPr>
                <w:rFonts w:ascii="Arial" w:hAnsi="Arial" w:cs="Arial"/>
                <w:b/>
                <w:bCs/>
                <w:sz w:val="22"/>
                <w:szCs w:val="22"/>
              </w:rPr>
              <w:t>Note</w:t>
            </w:r>
            <w:r w:rsidRPr="00344B96">
              <w:rPr>
                <w:rFonts w:ascii="Arial" w:hAnsi="Arial" w:cs="Arial"/>
                <w:sz w:val="22"/>
                <w:szCs w:val="22"/>
              </w:rPr>
              <w:t>: While the vendor software will report colistin and colistimethate separately in the CDA file, NHSN will roll up colistin and it will appear with colistimethate in the NHSN AU Option Line Lists.</w:t>
            </w:r>
          </w:p>
        </w:tc>
      </w:tr>
    </w:tbl>
    <w:p w14:paraId="35F93F2F" w14:textId="77777777" w:rsidR="007D114F" w:rsidRDefault="007D114F" w:rsidP="00B70C63">
      <w:pPr>
        <w:pStyle w:val="BulletsCDC"/>
        <w:numPr>
          <w:ilvl w:val="0"/>
          <w:numId w:val="0"/>
        </w:numPr>
        <w:spacing w:after="0" w:line="240" w:lineRule="auto"/>
        <w:ind w:right="0"/>
        <w:rPr>
          <w:rFonts w:cs="Arial"/>
          <w:szCs w:val="22"/>
        </w:rPr>
      </w:pPr>
    </w:p>
    <w:p w14:paraId="35F9C43E" w14:textId="77777777" w:rsidR="007D114F" w:rsidRDefault="007D114F" w:rsidP="00C12D3A">
      <w:pPr>
        <w:pStyle w:val="Heading2"/>
        <w:spacing w:before="0" w:after="0" w:line="240" w:lineRule="auto"/>
        <w:rPr>
          <w:color w:val="47264F" w:themeColor="accent5"/>
          <w:sz w:val="26"/>
          <w:szCs w:val="26"/>
        </w:rPr>
      </w:pPr>
      <w:bookmarkStart w:id="4" w:name="_3._Evaluate_location-specific"/>
      <w:bookmarkEnd w:id="4"/>
      <w:r>
        <w:rPr>
          <w:bCs/>
          <w:color w:val="47264F" w:themeColor="accent5"/>
          <w:sz w:val="26"/>
          <w:szCs w:val="26"/>
        </w:rPr>
        <w:t>3</w:t>
      </w:r>
      <w:r w:rsidRPr="00B45EAD">
        <w:rPr>
          <w:bCs/>
          <w:color w:val="47264F" w:themeColor="accent5"/>
          <w:sz w:val="26"/>
          <w:szCs w:val="26"/>
        </w:rPr>
        <w:t>.</w:t>
      </w:r>
      <w:r>
        <w:rPr>
          <w:color w:val="47264F" w:themeColor="accent5"/>
          <w:sz w:val="26"/>
          <w:szCs w:val="26"/>
        </w:rPr>
        <w:t xml:space="preserve"> </w:t>
      </w:r>
      <w:r w:rsidRPr="00CC4118">
        <w:rPr>
          <w:color w:val="47264F" w:themeColor="accent5"/>
          <w:sz w:val="26"/>
          <w:szCs w:val="26"/>
        </w:rPr>
        <w:t>Evaluate location-specific patterns of antimicrobial use</w:t>
      </w:r>
    </w:p>
    <w:p w14:paraId="49EA5404" w14:textId="77777777" w:rsidR="007D114F" w:rsidRDefault="007D114F" w:rsidP="00C12D3A">
      <w:pPr>
        <w:pStyle w:val="NoSpacing"/>
        <w:rPr>
          <w:rFonts w:ascii="Arial" w:hAnsi="Arial" w:cs="Arial"/>
          <w:b/>
          <w:bCs/>
        </w:rPr>
      </w:pPr>
    </w:p>
    <w:p w14:paraId="3DA600F5" w14:textId="4786BAD5" w:rsidR="007D114F" w:rsidRDefault="007D114F" w:rsidP="00C12D3A">
      <w:pPr>
        <w:pStyle w:val="NoSpacing"/>
        <w:rPr>
          <w:rFonts w:ascii="Arial" w:hAnsi="Arial" w:cs="Arial"/>
        </w:rPr>
      </w:pPr>
      <w:r w:rsidRPr="00CC4118">
        <w:rPr>
          <w:rFonts w:ascii="Arial" w:hAnsi="Arial" w:cs="Arial"/>
          <w:b/>
          <w:bCs/>
        </w:rPr>
        <w:t>Methodology</w:t>
      </w:r>
      <w:r w:rsidRPr="000B0909">
        <w:rPr>
          <w:rFonts w:ascii="Arial" w:hAnsi="Arial" w:cs="Arial"/>
        </w:rPr>
        <w:t>:</w:t>
      </w:r>
      <w:r w:rsidRPr="00CC4118">
        <w:rPr>
          <w:rFonts w:ascii="Arial" w:hAnsi="Arial" w:cs="Arial"/>
        </w:rPr>
        <w:t xml:space="preserve"> This section asks you to review location-specific patterns as a high-level review of reported data. These questions can quickly help pinpoint if there’s a location-specific issue that needs to be addressed. Use the “</w:t>
      </w:r>
      <w:hyperlink r:id="rId21" w:history="1">
        <w:r w:rsidRPr="006E74DF">
          <w:rPr>
            <w:rStyle w:val="Hyperlink"/>
            <w:rFonts w:ascii="Arial" w:hAnsi="Arial" w:cs="Arial"/>
            <w:color w:val="2A6CA8" w:themeColor="background2" w:themeShade="80"/>
          </w:rPr>
          <w:t>Line Listing – All Submitted AU data by Location</w:t>
        </w:r>
      </w:hyperlink>
      <w:r w:rsidRPr="00CC4118">
        <w:rPr>
          <w:rFonts w:ascii="Arial" w:hAnsi="Arial" w:cs="Arial"/>
        </w:rPr>
        <w:t xml:space="preserve">” report to answer the following questions. </w:t>
      </w:r>
      <w:r w:rsidR="00DD0990">
        <w:rPr>
          <w:rFonts w:ascii="Arial" w:hAnsi="Arial" w:cs="Arial"/>
        </w:rPr>
        <w:t xml:space="preserve">While we expect to see these patterns in most cases, variations can occur. </w:t>
      </w:r>
      <w:r w:rsidR="00DD0990" w:rsidRPr="00CC4118">
        <w:rPr>
          <w:rFonts w:ascii="Arial" w:hAnsi="Arial" w:cs="Arial"/>
        </w:rPr>
        <w:t xml:space="preserve">If these patterns are not </w:t>
      </w:r>
      <w:r w:rsidR="00DD0990">
        <w:rPr>
          <w:rFonts w:ascii="Arial" w:hAnsi="Arial" w:cs="Arial"/>
        </w:rPr>
        <w:t>observed</w:t>
      </w:r>
      <w:r w:rsidR="002B263C">
        <w:rPr>
          <w:rFonts w:ascii="Arial" w:hAnsi="Arial" w:cs="Arial"/>
        </w:rPr>
        <w:t xml:space="preserve"> for these locations </w:t>
      </w:r>
      <w:r w:rsidR="001641C7">
        <w:rPr>
          <w:rFonts w:ascii="Arial" w:hAnsi="Arial" w:cs="Arial"/>
        </w:rPr>
        <w:t xml:space="preserve">or if inconsistencies </w:t>
      </w:r>
      <w:r w:rsidR="00BF067B">
        <w:rPr>
          <w:rFonts w:ascii="Arial" w:hAnsi="Arial" w:cs="Arial"/>
        </w:rPr>
        <w:t xml:space="preserve">are </w:t>
      </w:r>
      <w:r w:rsidR="001641C7">
        <w:rPr>
          <w:rFonts w:ascii="Arial" w:hAnsi="Arial" w:cs="Arial"/>
        </w:rPr>
        <w:t>discovered</w:t>
      </w:r>
      <w:r w:rsidR="00386E64">
        <w:rPr>
          <w:rFonts w:ascii="Arial" w:hAnsi="Arial" w:cs="Arial"/>
        </w:rPr>
        <w:t>,</w:t>
      </w:r>
      <w:r w:rsidR="001641C7">
        <w:rPr>
          <w:rFonts w:ascii="Arial" w:hAnsi="Arial" w:cs="Arial"/>
        </w:rPr>
        <w:t xml:space="preserve"> work with your vendor to</w:t>
      </w:r>
      <w:r w:rsidR="00DD0990">
        <w:rPr>
          <w:rFonts w:ascii="Arial" w:hAnsi="Arial" w:cs="Arial"/>
        </w:rPr>
        <w:t xml:space="preserve"> </w:t>
      </w:r>
      <w:r w:rsidR="001641C7">
        <w:rPr>
          <w:rFonts w:ascii="Arial" w:hAnsi="Arial" w:cs="Arial"/>
        </w:rPr>
        <w:t>resolve the issue</w:t>
      </w:r>
      <w:r w:rsidR="00386E64">
        <w:rPr>
          <w:rFonts w:ascii="Arial" w:hAnsi="Arial" w:cs="Arial"/>
        </w:rPr>
        <w:t>s</w:t>
      </w:r>
      <w:r w:rsidR="00DD0990" w:rsidRPr="007A3D2C">
        <w:rPr>
          <w:rFonts w:ascii="Arial" w:hAnsi="Arial" w:cs="Arial"/>
        </w:rPr>
        <w:t>.</w:t>
      </w:r>
    </w:p>
    <w:p w14:paraId="247F993D" w14:textId="77777777" w:rsidR="007D114F" w:rsidRDefault="007D114F" w:rsidP="00C12D3A">
      <w:pPr>
        <w:pStyle w:val="NoSpacing"/>
        <w:rPr>
          <w:rFonts w:ascii="Arial" w:hAnsi="Arial" w:cs="Arial"/>
        </w:rPr>
      </w:pPr>
    </w:p>
    <w:p w14:paraId="4E2671A8" w14:textId="0544E22C" w:rsidR="007D114F" w:rsidRPr="007A3D2C" w:rsidRDefault="007D114F" w:rsidP="00C12D3A">
      <w:pPr>
        <w:pStyle w:val="NoSpacing"/>
        <w:rPr>
          <w:rFonts w:ascii="Arial" w:hAnsi="Arial" w:cs="Arial"/>
          <w:i/>
          <w:iCs/>
        </w:rPr>
      </w:pPr>
      <w:r w:rsidRPr="006A40E9">
        <w:rPr>
          <w:rStyle w:val="cf01"/>
          <w:rFonts w:ascii="Arial" w:hAnsi="Arial" w:cs="Arial"/>
          <w:sz w:val="22"/>
          <w:szCs w:val="22"/>
        </w:rPr>
        <w:t>Confirm usage patterns reflect unit specific hospital treatment guidelines</w:t>
      </w:r>
      <w:r>
        <w:rPr>
          <w:rFonts w:ascii="Arial" w:hAnsi="Arial" w:cs="Arial"/>
        </w:rPr>
        <w:t>. Here are some examples</w:t>
      </w:r>
      <w:r w:rsidR="00FC10C1">
        <w:rPr>
          <w:rFonts w:ascii="Arial" w:hAnsi="Arial" w:cs="Arial"/>
        </w:rPr>
        <w:t>:</w:t>
      </w:r>
    </w:p>
    <w:p w14:paraId="33E31239" w14:textId="77777777" w:rsidR="007D114F" w:rsidRPr="00CC4118" w:rsidRDefault="007D114F" w:rsidP="00C12D3A">
      <w:pPr>
        <w:pStyle w:val="NoSpacing"/>
        <w:rPr>
          <w:rFonts w:ascii="Arial" w:hAnsi="Arial" w:cs="Arial"/>
          <w:b/>
          <w:bCs/>
        </w:rPr>
      </w:pPr>
    </w:p>
    <w:p w14:paraId="293EE688" w14:textId="373D8148" w:rsidR="007D114F" w:rsidRPr="00CC4118" w:rsidRDefault="007D114F" w:rsidP="00C12D3A">
      <w:pPr>
        <w:pStyle w:val="NoSpacing"/>
        <w:numPr>
          <w:ilvl w:val="0"/>
          <w:numId w:val="19"/>
        </w:numPr>
        <w:rPr>
          <w:rFonts w:ascii="Arial" w:hAnsi="Arial" w:cs="Arial"/>
        </w:rPr>
      </w:pPr>
      <w:r w:rsidRPr="00CC4118">
        <w:rPr>
          <w:rFonts w:ascii="Arial" w:hAnsi="Arial" w:cs="Arial"/>
        </w:rPr>
        <w:t xml:space="preserve">Review Labor and Delivery usage. </w:t>
      </w:r>
      <w:r>
        <w:rPr>
          <w:rFonts w:ascii="Arial" w:hAnsi="Arial" w:cs="Arial"/>
        </w:rPr>
        <w:t>N</w:t>
      </w:r>
      <w:r w:rsidRPr="00CC4118">
        <w:rPr>
          <w:rFonts w:ascii="Arial" w:hAnsi="Arial" w:cs="Arial"/>
        </w:rPr>
        <w:t xml:space="preserve">arrow spectrum beta-lactams, such as ampicillin and penicillin G, are </w:t>
      </w:r>
      <w:r w:rsidR="5EE4CD89" w:rsidRPr="7D64B4C9">
        <w:rPr>
          <w:rFonts w:ascii="Arial" w:hAnsi="Arial" w:cs="Arial"/>
        </w:rPr>
        <w:t>usually</w:t>
      </w:r>
      <w:r w:rsidRPr="7D64B4C9">
        <w:rPr>
          <w:rFonts w:ascii="Arial" w:hAnsi="Arial" w:cs="Arial"/>
        </w:rPr>
        <w:t xml:space="preserve"> </w:t>
      </w:r>
      <w:r w:rsidRPr="00CC4118">
        <w:rPr>
          <w:rFonts w:ascii="Arial" w:hAnsi="Arial" w:cs="Arial"/>
        </w:rPr>
        <w:t>used more often</w:t>
      </w:r>
      <w:r w:rsidRPr="00CC4118">
        <w:rPr>
          <w:rFonts w:ascii="Arial" w:hAnsi="Arial" w:cs="Arial"/>
          <w:b/>
          <w:bCs/>
        </w:rPr>
        <w:t xml:space="preserve"> </w:t>
      </w:r>
      <w:r w:rsidRPr="00CC4118">
        <w:rPr>
          <w:rFonts w:ascii="Arial" w:hAnsi="Arial" w:cs="Arial"/>
        </w:rPr>
        <w:t xml:space="preserve">in Labor and Delivery than in other adult locations. </w:t>
      </w:r>
    </w:p>
    <w:p w14:paraId="6D1EB05E" w14:textId="77777777" w:rsidR="007D114F" w:rsidRPr="00CC4118" w:rsidRDefault="007D114F" w:rsidP="00C12D3A">
      <w:pPr>
        <w:pStyle w:val="NoSpacing"/>
        <w:rPr>
          <w:rFonts w:ascii="Arial" w:hAnsi="Arial" w:cs="Arial"/>
        </w:rPr>
      </w:pPr>
    </w:p>
    <w:p w14:paraId="4D60F27F" w14:textId="28FB85A2" w:rsidR="007D114F" w:rsidRPr="00CC4118" w:rsidRDefault="007D114F" w:rsidP="00C12D3A">
      <w:pPr>
        <w:pStyle w:val="NoSpacing"/>
        <w:numPr>
          <w:ilvl w:val="0"/>
          <w:numId w:val="19"/>
        </w:numPr>
        <w:rPr>
          <w:rFonts w:ascii="Arial" w:hAnsi="Arial" w:cs="Arial"/>
        </w:rPr>
      </w:pPr>
      <w:r w:rsidRPr="00CC4118">
        <w:rPr>
          <w:rFonts w:ascii="Arial" w:hAnsi="Arial" w:cs="Arial"/>
        </w:rPr>
        <w:t xml:space="preserve">Review </w:t>
      </w:r>
      <w:r w:rsidR="003168F8" w:rsidRPr="003168F8">
        <w:rPr>
          <w:rFonts w:ascii="Arial" w:hAnsi="Arial" w:cs="Arial"/>
        </w:rPr>
        <w:t>neonatal intensive care unit</w:t>
      </w:r>
      <w:r w:rsidR="003168F8">
        <w:t xml:space="preserve"> </w:t>
      </w:r>
      <w:r w:rsidR="003168F8">
        <w:rPr>
          <w:rFonts w:ascii="Arial" w:hAnsi="Arial" w:cs="Arial"/>
        </w:rPr>
        <w:t>(</w:t>
      </w:r>
      <w:r w:rsidRPr="00CC4118">
        <w:rPr>
          <w:rFonts w:ascii="Arial" w:hAnsi="Arial" w:cs="Arial"/>
        </w:rPr>
        <w:t>NICU</w:t>
      </w:r>
      <w:r w:rsidR="003168F8">
        <w:rPr>
          <w:rFonts w:ascii="Arial" w:hAnsi="Arial" w:cs="Arial"/>
        </w:rPr>
        <w:t>)</w:t>
      </w:r>
      <w:r w:rsidRPr="00CC4118">
        <w:rPr>
          <w:rFonts w:ascii="Arial" w:hAnsi="Arial" w:cs="Arial"/>
        </w:rPr>
        <w:t xml:space="preserve"> usage. </w:t>
      </w:r>
      <w:r>
        <w:rPr>
          <w:rFonts w:ascii="Arial" w:hAnsi="Arial" w:cs="Arial"/>
        </w:rPr>
        <w:t>A</w:t>
      </w:r>
      <w:r w:rsidRPr="00CC4118">
        <w:rPr>
          <w:rFonts w:ascii="Arial" w:hAnsi="Arial" w:cs="Arial"/>
        </w:rPr>
        <w:t xml:space="preserve">mpicillin and gentamicin are </w:t>
      </w:r>
      <w:r w:rsidR="625197F4" w:rsidRPr="7D64B4C9">
        <w:rPr>
          <w:rFonts w:ascii="Arial" w:hAnsi="Arial" w:cs="Arial"/>
        </w:rPr>
        <w:t xml:space="preserve">usually </w:t>
      </w:r>
      <w:r w:rsidRPr="00CC4118">
        <w:rPr>
          <w:rFonts w:ascii="Arial" w:hAnsi="Arial" w:cs="Arial"/>
        </w:rPr>
        <w:t>used more often than other antibacterials used in the NICU.</w:t>
      </w:r>
    </w:p>
    <w:p w14:paraId="1B43BECA" w14:textId="77777777" w:rsidR="007D114F" w:rsidRPr="00CC4118" w:rsidRDefault="007D114F" w:rsidP="00C12D3A">
      <w:pPr>
        <w:pStyle w:val="NoSpacing"/>
        <w:rPr>
          <w:rFonts w:ascii="Arial" w:hAnsi="Arial" w:cs="Arial"/>
        </w:rPr>
      </w:pPr>
    </w:p>
    <w:p w14:paraId="10FB1E42" w14:textId="19BB216C" w:rsidR="007D114F" w:rsidRPr="00CC4118" w:rsidRDefault="00411D4A" w:rsidP="00C12D3A">
      <w:pPr>
        <w:pStyle w:val="NoSpacing"/>
        <w:numPr>
          <w:ilvl w:val="0"/>
          <w:numId w:val="19"/>
        </w:numPr>
        <w:rPr>
          <w:rFonts w:ascii="Arial" w:hAnsi="Arial" w:cs="Arial"/>
        </w:rPr>
      </w:pPr>
      <w:r>
        <w:rPr>
          <w:rFonts w:ascii="Arial" w:hAnsi="Arial" w:cs="Arial"/>
        </w:rPr>
        <w:t xml:space="preserve">Review critical care location usage. </w:t>
      </w:r>
      <w:r w:rsidR="007D114F">
        <w:rPr>
          <w:rFonts w:ascii="Arial" w:hAnsi="Arial" w:cs="Arial"/>
        </w:rPr>
        <w:t>B</w:t>
      </w:r>
      <w:r w:rsidR="007D114F" w:rsidRPr="00CC4118">
        <w:rPr>
          <w:rFonts w:ascii="Arial" w:hAnsi="Arial" w:cs="Arial"/>
        </w:rPr>
        <w:t xml:space="preserve">road spectrum antibacterial agents are </w:t>
      </w:r>
      <w:r w:rsidR="6620C713" w:rsidRPr="7D64B4C9">
        <w:rPr>
          <w:rFonts w:ascii="Arial" w:hAnsi="Arial" w:cs="Arial"/>
        </w:rPr>
        <w:t xml:space="preserve">usually </w:t>
      </w:r>
      <w:r w:rsidR="007D114F" w:rsidRPr="00CC4118">
        <w:rPr>
          <w:rFonts w:ascii="Arial" w:hAnsi="Arial" w:cs="Arial"/>
        </w:rPr>
        <w:t>used more often in critical care locations than in non-specialty medical wards.</w:t>
      </w:r>
    </w:p>
    <w:p w14:paraId="0CC47969" w14:textId="77777777" w:rsidR="007D114F" w:rsidRPr="00CC4118" w:rsidRDefault="007D114F" w:rsidP="00C12D3A">
      <w:pPr>
        <w:pStyle w:val="NoSpacing"/>
        <w:rPr>
          <w:rFonts w:ascii="Arial" w:hAnsi="Arial" w:cs="Arial"/>
        </w:rPr>
      </w:pPr>
    </w:p>
    <w:p w14:paraId="687263CB" w14:textId="06546CB9" w:rsidR="007D114F" w:rsidRPr="00CC4118" w:rsidRDefault="007D114F" w:rsidP="00C12D3A">
      <w:pPr>
        <w:pStyle w:val="NoSpacing"/>
        <w:numPr>
          <w:ilvl w:val="0"/>
          <w:numId w:val="19"/>
        </w:numPr>
        <w:rPr>
          <w:rFonts w:ascii="Arial" w:hAnsi="Arial" w:cs="Arial"/>
        </w:rPr>
      </w:pPr>
      <w:r w:rsidRPr="00CC4118">
        <w:rPr>
          <w:rFonts w:ascii="Arial" w:hAnsi="Arial" w:cs="Arial"/>
        </w:rPr>
        <w:t xml:space="preserve">Review Operating Room usage (if applicable). Cefazolin and vancomycin are </w:t>
      </w:r>
      <w:r w:rsidR="68B01C69" w:rsidRPr="7D64B4C9">
        <w:rPr>
          <w:rFonts w:ascii="Arial" w:hAnsi="Arial" w:cs="Arial"/>
        </w:rPr>
        <w:t xml:space="preserve">usually </w:t>
      </w:r>
      <w:r w:rsidR="003648B1">
        <w:rPr>
          <w:rFonts w:ascii="Arial" w:hAnsi="Arial" w:cs="Arial"/>
        </w:rPr>
        <w:t xml:space="preserve">the </w:t>
      </w:r>
      <w:proofErr w:type="gramStart"/>
      <w:r w:rsidR="68B01C69" w:rsidRPr="7D64B4C9">
        <w:rPr>
          <w:rFonts w:ascii="Arial" w:hAnsi="Arial" w:cs="Arial"/>
        </w:rPr>
        <w:t>most commonly used</w:t>
      </w:r>
      <w:proofErr w:type="gramEnd"/>
      <w:r w:rsidR="68B01C69" w:rsidRPr="7D64B4C9">
        <w:rPr>
          <w:rFonts w:ascii="Arial" w:hAnsi="Arial" w:cs="Arial"/>
        </w:rPr>
        <w:t xml:space="preserve"> antimicrobial</w:t>
      </w:r>
      <w:r w:rsidR="003648B1">
        <w:rPr>
          <w:rFonts w:ascii="Arial" w:hAnsi="Arial" w:cs="Arial"/>
        </w:rPr>
        <w:t>s</w:t>
      </w:r>
      <w:r w:rsidR="68B01C69" w:rsidRPr="7D64B4C9">
        <w:rPr>
          <w:rFonts w:ascii="Arial" w:hAnsi="Arial" w:cs="Arial"/>
        </w:rPr>
        <w:t xml:space="preserve"> </w:t>
      </w:r>
      <w:r w:rsidRPr="00CC4118">
        <w:rPr>
          <w:rFonts w:ascii="Arial" w:hAnsi="Arial" w:cs="Arial"/>
        </w:rPr>
        <w:t>in the Operating Room.</w:t>
      </w:r>
    </w:p>
    <w:p w14:paraId="076B5ADC" w14:textId="77777777" w:rsidR="007D114F" w:rsidRPr="00CC4118" w:rsidRDefault="007D114F" w:rsidP="00C12D3A">
      <w:pPr>
        <w:pStyle w:val="NoSpacing"/>
        <w:rPr>
          <w:rFonts w:ascii="Arial" w:hAnsi="Arial" w:cs="Arial"/>
        </w:rPr>
      </w:pPr>
    </w:p>
    <w:p w14:paraId="3C8963EB" w14:textId="77777777" w:rsidR="007D114F" w:rsidRPr="00763EB6" w:rsidRDefault="007D114F" w:rsidP="00C12D3A">
      <w:pPr>
        <w:pStyle w:val="NoSpacing"/>
        <w:numPr>
          <w:ilvl w:val="0"/>
          <w:numId w:val="19"/>
        </w:numPr>
        <w:rPr>
          <w:rFonts w:ascii="Arial" w:hAnsi="Arial" w:cs="Arial"/>
        </w:rPr>
      </w:pPr>
      <w:r w:rsidRPr="00CC4118">
        <w:rPr>
          <w:rFonts w:ascii="Arial" w:hAnsi="Arial" w:cs="Arial"/>
        </w:rPr>
        <w:t xml:space="preserve">Review cancer and/or transplant locations usage. </w:t>
      </w:r>
      <w:r>
        <w:rPr>
          <w:rFonts w:ascii="Arial" w:hAnsi="Arial" w:cs="Arial"/>
        </w:rPr>
        <w:t>A</w:t>
      </w:r>
      <w:r w:rsidRPr="00CC4118">
        <w:rPr>
          <w:rFonts w:ascii="Arial" w:hAnsi="Arial" w:cs="Arial"/>
        </w:rPr>
        <w:t xml:space="preserve">ntifungals, including azoles, echinocandins, and amphotericin B products are used more often in cancer and transplant locations than in other non-oncology locations. </w:t>
      </w:r>
    </w:p>
    <w:p w14:paraId="7DCAF879" w14:textId="07928E26" w:rsidR="007D114F" w:rsidRPr="00CC4118" w:rsidRDefault="007D114F" w:rsidP="00B70C63">
      <w:pPr>
        <w:pStyle w:val="NoSpacing"/>
        <w:rPr>
          <w:rFonts w:ascii="Arial" w:hAnsi="Arial" w:cs="Arial"/>
        </w:rPr>
      </w:pPr>
    </w:p>
    <w:p w14:paraId="6EAB2C72" w14:textId="77777777" w:rsidR="007D114F" w:rsidRDefault="007D114F" w:rsidP="00C12D3A">
      <w:pPr>
        <w:pStyle w:val="Heading2"/>
        <w:spacing w:before="0" w:after="0" w:line="240" w:lineRule="auto"/>
        <w:rPr>
          <w:color w:val="47264F" w:themeColor="accent5"/>
          <w:sz w:val="26"/>
          <w:szCs w:val="26"/>
        </w:rPr>
      </w:pPr>
      <w:bookmarkStart w:id="5" w:name="_4._Evaluate_drug-specific"/>
      <w:bookmarkEnd w:id="5"/>
      <w:r w:rsidRPr="00CC4118">
        <w:rPr>
          <w:color w:val="47264F" w:themeColor="accent5"/>
          <w:sz w:val="26"/>
          <w:szCs w:val="26"/>
        </w:rPr>
        <w:t>4.</w:t>
      </w:r>
      <w:r>
        <w:rPr>
          <w:color w:val="47264F" w:themeColor="accent5"/>
          <w:sz w:val="26"/>
          <w:szCs w:val="26"/>
        </w:rPr>
        <w:t xml:space="preserve"> </w:t>
      </w:r>
      <w:r w:rsidRPr="00CC4118">
        <w:rPr>
          <w:color w:val="47264F" w:themeColor="accent5"/>
          <w:sz w:val="26"/>
          <w:szCs w:val="26"/>
        </w:rPr>
        <w:t>Evaluate drug-specific patterns</w:t>
      </w:r>
    </w:p>
    <w:p w14:paraId="37D5003C" w14:textId="77777777" w:rsidR="007D114F" w:rsidRDefault="007D114F" w:rsidP="00C12D3A">
      <w:pPr>
        <w:pStyle w:val="NoSpacing"/>
        <w:rPr>
          <w:rFonts w:ascii="Arial" w:hAnsi="Arial" w:cs="Arial"/>
          <w:b/>
          <w:bCs/>
        </w:rPr>
      </w:pPr>
    </w:p>
    <w:p w14:paraId="0176CA27" w14:textId="77777777" w:rsidR="007D114F" w:rsidRDefault="007D114F" w:rsidP="00C12D3A">
      <w:pPr>
        <w:pStyle w:val="NoSpacing"/>
        <w:rPr>
          <w:rFonts w:ascii="Arial" w:hAnsi="Arial" w:cs="Arial"/>
        </w:rPr>
      </w:pPr>
      <w:r w:rsidRPr="00CC4118">
        <w:rPr>
          <w:rFonts w:ascii="Arial" w:hAnsi="Arial" w:cs="Arial"/>
          <w:b/>
          <w:bCs/>
        </w:rPr>
        <w:t>Methodology</w:t>
      </w:r>
      <w:r w:rsidRPr="000B0909">
        <w:rPr>
          <w:rFonts w:ascii="Arial" w:hAnsi="Arial" w:cs="Arial"/>
        </w:rPr>
        <w:t>:</w:t>
      </w:r>
      <w:r w:rsidRPr="00CC4118">
        <w:rPr>
          <w:rFonts w:ascii="Arial" w:hAnsi="Arial" w:cs="Arial"/>
        </w:rPr>
        <w:t xml:space="preserve"> This section asks you to review drug-specific patterns as a high-level review of reported data. These questions can quickly help pinpoint if there’s a drug-specific issue that needs to be </w:t>
      </w:r>
      <w:r w:rsidRPr="00CC4118">
        <w:rPr>
          <w:rFonts w:ascii="Arial" w:hAnsi="Arial" w:cs="Arial"/>
        </w:rPr>
        <w:lastRenderedPageBreak/>
        <w:t>addressed. Use the “</w:t>
      </w:r>
      <w:hyperlink r:id="rId22" w:history="1">
        <w:r w:rsidRPr="006E74DF">
          <w:rPr>
            <w:rStyle w:val="Hyperlink"/>
            <w:rFonts w:ascii="Arial" w:hAnsi="Arial" w:cs="Arial"/>
            <w:color w:val="2A6CA8" w:themeColor="background2" w:themeShade="80"/>
          </w:rPr>
          <w:t>Line Listing – All Submitted AU data by Location</w:t>
        </w:r>
      </w:hyperlink>
      <w:r w:rsidRPr="00CC4118">
        <w:rPr>
          <w:rFonts w:ascii="Arial" w:hAnsi="Arial" w:cs="Arial"/>
        </w:rPr>
        <w:t>” report to answer the following questions. If these expected patterns are not found, review the AU data for the given drug to confirm the accuracy of what’s being reported.</w:t>
      </w:r>
    </w:p>
    <w:p w14:paraId="4535F12A" w14:textId="77777777" w:rsidR="007D114F" w:rsidRPr="00CC4118" w:rsidRDefault="007D114F" w:rsidP="00C12D3A">
      <w:pPr>
        <w:pStyle w:val="NoSpacing"/>
        <w:rPr>
          <w:rFonts w:ascii="Arial" w:hAnsi="Arial" w:cs="Arial"/>
        </w:rPr>
      </w:pPr>
    </w:p>
    <w:p w14:paraId="4171BE89" w14:textId="77777777" w:rsidR="007D114F" w:rsidRDefault="007D114F" w:rsidP="00C12D3A">
      <w:pPr>
        <w:pStyle w:val="NoSpacing"/>
        <w:numPr>
          <w:ilvl w:val="0"/>
          <w:numId w:val="36"/>
        </w:numPr>
        <w:rPr>
          <w:rFonts w:ascii="Arial" w:hAnsi="Arial" w:cs="Arial"/>
        </w:rPr>
      </w:pPr>
      <w:r w:rsidRPr="00CC4118">
        <w:rPr>
          <w:rFonts w:ascii="Arial" w:hAnsi="Arial" w:cs="Arial"/>
        </w:rPr>
        <w:t>The vendor system is capturing non-formulary and rarely used agents.</w:t>
      </w:r>
      <w:r>
        <w:rPr>
          <w:rFonts w:ascii="Arial" w:hAnsi="Arial" w:cs="Arial"/>
        </w:rPr>
        <w:t xml:space="preserve"> </w:t>
      </w:r>
    </w:p>
    <w:p w14:paraId="43A770C0" w14:textId="636F5BB1" w:rsidR="007D114F" w:rsidRDefault="007D114F" w:rsidP="00C12D3A">
      <w:pPr>
        <w:pStyle w:val="NoSpacing"/>
        <w:numPr>
          <w:ilvl w:val="0"/>
          <w:numId w:val="12"/>
        </w:numPr>
        <w:rPr>
          <w:rFonts w:ascii="Arial" w:hAnsi="Arial" w:cs="Arial"/>
        </w:rPr>
      </w:pPr>
      <w:r w:rsidRPr="00CC4118">
        <w:rPr>
          <w:rFonts w:ascii="Arial" w:hAnsi="Arial" w:cs="Arial"/>
        </w:rPr>
        <w:t xml:space="preserve">If any antimicrobial agents (for example oral cephalosporins), are rarely used </w:t>
      </w:r>
      <w:r>
        <w:rPr>
          <w:rFonts w:ascii="Arial" w:hAnsi="Arial" w:cs="Arial"/>
        </w:rPr>
        <w:t xml:space="preserve">but </w:t>
      </w:r>
      <w:r w:rsidRPr="00CC4118">
        <w:rPr>
          <w:rFonts w:ascii="Arial" w:hAnsi="Arial" w:cs="Arial"/>
        </w:rPr>
        <w:t>available for use in your facility</w:t>
      </w:r>
      <w:r w:rsidR="0039560D">
        <w:rPr>
          <w:rFonts w:ascii="Arial" w:hAnsi="Arial" w:cs="Arial"/>
        </w:rPr>
        <w:t xml:space="preserve"> and can be accurately captured</w:t>
      </w:r>
      <w:r w:rsidRPr="00CC4118">
        <w:rPr>
          <w:rFonts w:ascii="Arial" w:hAnsi="Arial" w:cs="Arial"/>
        </w:rPr>
        <w:t xml:space="preserve">, ensure their antimicrobial days </w:t>
      </w:r>
      <w:r>
        <w:rPr>
          <w:rFonts w:ascii="Arial" w:hAnsi="Arial" w:cs="Arial"/>
        </w:rPr>
        <w:t>are reported as 0 (</w:t>
      </w:r>
      <w:r w:rsidR="62C7B29E" w:rsidRPr="7D64B4C9">
        <w:rPr>
          <w:rFonts w:ascii="Arial" w:hAnsi="Arial" w:cs="Arial"/>
        </w:rPr>
        <w:t xml:space="preserve">if </w:t>
      </w:r>
      <w:r>
        <w:rPr>
          <w:rFonts w:ascii="Arial" w:hAnsi="Arial" w:cs="Arial"/>
        </w:rPr>
        <w:t xml:space="preserve">no use) </w:t>
      </w:r>
      <w:r w:rsidRPr="00CC4118">
        <w:rPr>
          <w:rFonts w:ascii="Arial" w:hAnsi="Arial" w:cs="Arial"/>
        </w:rPr>
        <w:t xml:space="preserve">instead of N/A in the data reported to the AU Option. </w:t>
      </w:r>
      <w:r w:rsidRPr="00503275">
        <w:rPr>
          <w:rFonts w:ascii="Arial" w:hAnsi="Arial" w:cs="Arial"/>
        </w:rPr>
        <w:t xml:space="preserve">Drugs reported as N/A will show as “.” in the NHSN AU Option Line List. </w:t>
      </w:r>
    </w:p>
    <w:p w14:paraId="39565A63" w14:textId="77777777" w:rsidR="007D114F" w:rsidRPr="00CC4118" w:rsidRDefault="007D114F" w:rsidP="00C12D3A">
      <w:pPr>
        <w:pStyle w:val="NoSpacing"/>
        <w:rPr>
          <w:rFonts w:ascii="Arial" w:hAnsi="Arial" w:cs="Arial"/>
        </w:rPr>
      </w:pPr>
    </w:p>
    <w:p w14:paraId="40D64C3A" w14:textId="77777777" w:rsidR="007D114F" w:rsidRPr="00CC4118" w:rsidRDefault="007D114F" w:rsidP="00C12D3A">
      <w:pPr>
        <w:pStyle w:val="NoSpacing"/>
        <w:numPr>
          <w:ilvl w:val="0"/>
          <w:numId w:val="36"/>
        </w:numPr>
        <w:rPr>
          <w:rFonts w:ascii="Arial" w:hAnsi="Arial" w:cs="Arial"/>
        </w:rPr>
      </w:pPr>
      <w:r w:rsidRPr="00CC4118">
        <w:rPr>
          <w:rFonts w:ascii="Arial" w:hAnsi="Arial" w:cs="Arial"/>
        </w:rPr>
        <w:t>Anti-influenza agents (for example, baloxavir marboxil, oseltamivir, peramivir, zanamivir) are primarily used during flu season with potential peaks in usage in January and February.</w:t>
      </w:r>
    </w:p>
    <w:p w14:paraId="783712C0" w14:textId="77777777" w:rsidR="007D114F" w:rsidRPr="00CC4118" w:rsidRDefault="007D114F" w:rsidP="00C12D3A">
      <w:pPr>
        <w:pStyle w:val="NoSpacing"/>
        <w:ind w:left="720"/>
        <w:rPr>
          <w:rFonts w:ascii="Arial" w:hAnsi="Arial" w:cs="Arial"/>
        </w:rPr>
      </w:pPr>
    </w:p>
    <w:p w14:paraId="73D74D1A" w14:textId="77777777" w:rsidR="007D114F" w:rsidRPr="00CC4118" w:rsidRDefault="007D114F" w:rsidP="00C12D3A">
      <w:pPr>
        <w:pStyle w:val="NoSpacing"/>
        <w:numPr>
          <w:ilvl w:val="0"/>
          <w:numId w:val="36"/>
        </w:numPr>
        <w:rPr>
          <w:rFonts w:ascii="Arial" w:hAnsi="Arial" w:cs="Arial"/>
        </w:rPr>
      </w:pPr>
      <w:r w:rsidRPr="00CC4118">
        <w:rPr>
          <w:rFonts w:ascii="Arial" w:hAnsi="Arial" w:cs="Arial"/>
        </w:rPr>
        <w:t>The vendor system is correctly capturing single and combination drugs such as amoxicillin and amoxicillin/clavulanate, ampicillin and ampicillin/sulbactam, ceftazidime and ceftazidime/avibactam, and meropenem and meropenem/</w:t>
      </w:r>
      <w:proofErr w:type="spellStart"/>
      <w:r w:rsidRPr="00CC4118">
        <w:rPr>
          <w:rFonts w:ascii="Arial" w:hAnsi="Arial" w:cs="Arial"/>
        </w:rPr>
        <w:t>vaborbactam</w:t>
      </w:r>
      <w:proofErr w:type="spellEnd"/>
      <w:r w:rsidRPr="00CC4118">
        <w:rPr>
          <w:rFonts w:ascii="Arial" w:hAnsi="Arial" w:cs="Arial"/>
        </w:rPr>
        <w:t>. For example, the vendor system is not mapping and aggregating ceftazidime/avibactam to ceftazidime or double-counting administrations as both ceftazidime/avibactam and ceftazidime.</w:t>
      </w:r>
    </w:p>
    <w:p w14:paraId="25B5DA4E" w14:textId="77777777" w:rsidR="007D114F" w:rsidRPr="00CC4118" w:rsidRDefault="007D114F" w:rsidP="00C12D3A">
      <w:pPr>
        <w:pStyle w:val="NoSpacing"/>
        <w:ind w:left="720"/>
        <w:rPr>
          <w:rFonts w:ascii="Arial" w:hAnsi="Arial" w:cs="Arial"/>
        </w:rPr>
      </w:pPr>
    </w:p>
    <w:p w14:paraId="4C849F8D" w14:textId="77777777" w:rsidR="007D114F" w:rsidRPr="00CC4118" w:rsidRDefault="007D114F" w:rsidP="00C12D3A">
      <w:pPr>
        <w:pStyle w:val="NoSpacing"/>
        <w:numPr>
          <w:ilvl w:val="0"/>
          <w:numId w:val="36"/>
        </w:numPr>
        <w:rPr>
          <w:rFonts w:ascii="Arial" w:hAnsi="Arial" w:cs="Arial"/>
        </w:rPr>
      </w:pPr>
      <w:r w:rsidRPr="00CC4118">
        <w:rPr>
          <w:rFonts w:ascii="Arial" w:hAnsi="Arial" w:cs="Arial"/>
        </w:rPr>
        <w:t>The vendor system is correctly capturing different formulations of amphotericin B (i.e., amphotericin B, amphotericin lipid complex, and amphotericin B liposomal). For example, the vendor system is not double-counting administrations as both amphotericin lipid complex and amphotericin B liposomal.</w:t>
      </w:r>
    </w:p>
    <w:p w14:paraId="16E9CD6D" w14:textId="77777777" w:rsidR="007D114F" w:rsidRPr="00CC4118" w:rsidRDefault="007D114F" w:rsidP="00C12D3A">
      <w:pPr>
        <w:pStyle w:val="NoSpacing"/>
        <w:ind w:left="720"/>
        <w:rPr>
          <w:rFonts w:ascii="Arial" w:hAnsi="Arial" w:cs="Arial"/>
        </w:rPr>
      </w:pPr>
    </w:p>
    <w:p w14:paraId="227A82FA" w14:textId="77777777" w:rsidR="007D114F" w:rsidRDefault="007D114F" w:rsidP="00C12D3A">
      <w:pPr>
        <w:pStyle w:val="NoSpacing"/>
        <w:numPr>
          <w:ilvl w:val="0"/>
          <w:numId w:val="36"/>
        </w:numPr>
        <w:rPr>
          <w:rFonts w:ascii="Arial" w:hAnsi="Arial" w:cs="Arial"/>
        </w:rPr>
      </w:pPr>
      <w:r w:rsidRPr="00CC4118">
        <w:rPr>
          <w:rFonts w:ascii="Arial" w:hAnsi="Arial" w:cs="Arial"/>
        </w:rPr>
        <w:t>The vendor system is correctly capturing different formulations of colistin (i.e., colistin and colistimethate). For example, the vendor system is not double-counting administrations as both colistin and colistimethate.</w:t>
      </w:r>
    </w:p>
    <w:p w14:paraId="50FF6306" w14:textId="77777777" w:rsidR="007D114F" w:rsidRPr="00F1468C" w:rsidRDefault="007D114F" w:rsidP="00C12D3A">
      <w:pPr>
        <w:pStyle w:val="ListParagraph"/>
        <w:spacing w:after="0" w:line="240" w:lineRule="auto"/>
        <w:ind w:left="1440"/>
        <w:rPr>
          <w:rFonts w:cs="Arial"/>
        </w:rPr>
      </w:pPr>
    </w:p>
    <w:p w14:paraId="7086AB7A" w14:textId="3347EC9B" w:rsidR="007D114F" w:rsidRPr="00CC4118" w:rsidRDefault="007D114F" w:rsidP="00C12D3A">
      <w:pPr>
        <w:pStyle w:val="NoSpacing"/>
        <w:ind w:left="720"/>
        <w:rPr>
          <w:rFonts w:ascii="Arial" w:hAnsi="Arial" w:cs="Arial"/>
        </w:rPr>
      </w:pPr>
      <w:r w:rsidRPr="00CC4118">
        <w:rPr>
          <w:rFonts w:ascii="Arial" w:hAnsi="Arial" w:cs="Arial"/>
          <w:b/>
          <w:bCs/>
        </w:rPr>
        <w:t>Note</w:t>
      </w:r>
      <w:r w:rsidRPr="000B0909">
        <w:rPr>
          <w:rFonts w:ascii="Arial" w:hAnsi="Arial" w:cs="Arial"/>
        </w:rPr>
        <w:t>:</w:t>
      </w:r>
      <w:r w:rsidRPr="00CC4118">
        <w:rPr>
          <w:rFonts w:ascii="Arial" w:hAnsi="Arial" w:cs="Arial"/>
        </w:rPr>
        <w:t xml:space="preserve"> The NHSN application combines colistin and colistimethate use and reports them together as colistimethate. To check that your vendor system is capturing colistin and colistimethate administrations correctly, you will need to compare the colistin and colistimethate administrations in your</w:t>
      </w:r>
      <w:r w:rsidR="002C285F" w:rsidRPr="002C285F">
        <w:t xml:space="preserve"> </w:t>
      </w:r>
      <w:r w:rsidR="002C285F" w:rsidRPr="002C285F">
        <w:rPr>
          <w:rFonts w:ascii="Arial" w:hAnsi="Arial" w:cs="Arial"/>
        </w:rPr>
        <w:t>Electronic Health Record</w:t>
      </w:r>
      <w:r w:rsidRPr="00CC4118">
        <w:rPr>
          <w:rFonts w:ascii="Arial" w:hAnsi="Arial" w:cs="Arial"/>
        </w:rPr>
        <w:t xml:space="preserve"> </w:t>
      </w:r>
      <w:r w:rsidR="002C285F">
        <w:rPr>
          <w:rFonts w:ascii="Arial" w:hAnsi="Arial" w:cs="Arial"/>
        </w:rPr>
        <w:t>(</w:t>
      </w:r>
      <w:r w:rsidR="001915C9">
        <w:rPr>
          <w:rFonts w:ascii="Arial" w:hAnsi="Arial" w:cs="Arial"/>
        </w:rPr>
        <w:t>EH</w:t>
      </w:r>
      <w:r w:rsidR="002C285F">
        <w:rPr>
          <w:rFonts w:ascii="Arial" w:hAnsi="Arial" w:cs="Arial"/>
        </w:rPr>
        <w:t>R)</w:t>
      </w:r>
      <w:r w:rsidRPr="00CC4118">
        <w:rPr>
          <w:rFonts w:ascii="Arial" w:hAnsi="Arial" w:cs="Arial"/>
        </w:rPr>
        <w:t xml:space="preserve"> or vendor system to the </w:t>
      </w:r>
      <w:r w:rsidRPr="00CC4118">
        <w:rPr>
          <w:rFonts w:ascii="Arial" w:hAnsi="Arial" w:cs="Arial"/>
          <w:u w:val="single"/>
        </w:rPr>
        <w:t>colistimethate</w:t>
      </w:r>
      <w:r w:rsidRPr="00CC4118">
        <w:rPr>
          <w:rFonts w:ascii="Arial" w:hAnsi="Arial" w:cs="Arial"/>
        </w:rPr>
        <w:t xml:space="preserve"> counts in the NHSN application.</w:t>
      </w:r>
    </w:p>
    <w:p w14:paraId="796D6067" w14:textId="77777777" w:rsidR="007D114F" w:rsidRPr="00CC4118" w:rsidRDefault="007D114F" w:rsidP="00C12D3A">
      <w:pPr>
        <w:pStyle w:val="NoSpacing"/>
        <w:rPr>
          <w:rFonts w:ascii="Arial" w:hAnsi="Arial" w:cs="Arial"/>
        </w:rPr>
      </w:pPr>
    </w:p>
    <w:p w14:paraId="74183DA2" w14:textId="77777777" w:rsidR="007D114F" w:rsidRPr="00CC4118" w:rsidRDefault="007D114F" w:rsidP="00C12D3A">
      <w:pPr>
        <w:pStyle w:val="NoSpacing"/>
        <w:numPr>
          <w:ilvl w:val="0"/>
          <w:numId w:val="36"/>
        </w:numPr>
        <w:rPr>
          <w:rFonts w:ascii="Arial" w:hAnsi="Arial" w:cs="Arial"/>
        </w:rPr>
      </w:pPr>
      <w:r w:rsidRPr="00CC4118">
        <w:rPr>
          <w:rFonts w:ascii="Arial" w:hAnsi="Arial" w:cs="Arial"/>
        </w:rPr>
        <w:t>If your facility submitted AU data for more than one month, confirm general usage patterns for a specific location are similar across months, unless there is a reason for a substantial change in usage (for example, formulary changes</w:t>
      </w:r>
      <w:r>
        <w:rPr>
          <w:rFonts w:ascii="Arial" w:hAnsi="Arial" w:cs="Arial"/>
        </w:rPr>
        <w:t xml:space="preserve"> or drug shortages</w:t>
      </w:r>
      <w:r w:rsidRPr="00CC4118">
        <w:rPr>
          <w:rFonts w:ascii="Arial" w:hAnsi="Arial" w:cs="Arial"/>
        </w:rPr>
        <w:t>).</w:t>
      </w:r>
    </w:p>
    <w:p w14:paraId="6101778C" w14:textId="77777777" w:rsidR="007D114F" w:rsidRPr="00CC4118" w:rsidRDefault="007D114F" w:rsidP="00C12D3A">
      <w:pPr>
        <w:pStyle w:val="NoSpacing"/>
        <w:jc w:val="right"/>
        <w:rPr>
          <w:rFonts w:ascii="Arial" w:hAnsi="Arial" w:cs="Arial"/>
        </w:rPr>
      </w:pPr>
    </w:p>
    <w:p w14:paraId="73D26381" w14:textId="77777777" w:rsidR="00F27E24" w:rsidRDefault="007D114F" w:rsidP="00C12D3A">
      <w:pPr>
        <w:spacing w:before="0" w:after="0" w:line="240" w:lineRule="auto"/>
        <w:jc w:val="right"/>
        <w:rPr>
          <w:rFonts w:cs="Arial"/>
          <w:i/>
          <w:szCs w:val="22"/>
        </w:rPr>
      </w:pPr>
      <w:r w:rsidRPr="00CC4118">
        <w:rPr>
          <w:rFonts w:cs="Arial"/>
          <w:i/>
          <w:szCs w:val="22"/>
        </w:rPr>
        <w:t xml:space="preserve">End of Section </w:t>
      </w:r>
      <w:r w:rsidR="006E63E6">
        <w:rPr>
          <w:rFonts w:cs="Arial"/>
          <w:i/>
          <w:szCs w:val="22"/>
        </w:rPr>
        <w:t>A</w:t>
      </w:r>
      <w:r w:rsidRPr="00CC4118">
        <w:rPr>
          <w:rFonts w:cs="Arial"/>
          <w:i/>
          <w:szCs w:val="22"/>
        </w:rPr>
        <w:t>: Spot Check Data Submitted to NHSN</w:t>
      </w:r>
    </w:p>
    <w:p w14:paraId="7D12C98A" w14:textId="77777777" w:rsidR="007640B6" w:rsidRDefault="007640B6" w:rsidP="00C12D3A">
      <w:pPr>
        <w:spacing w:before="0" w:after="0" w:line="240" w:lineRule="auto"/>
        <w:jc w:val="right"/>
        <w:rPr>
          <w:i/>
          <w:iCs/>
        </w:rPr>
      </w:pPr>
    </w:p>
    <w:p w14:paraId="5E4F3986" w14:textId="43B2857F" w:rsidR="007D114F" w:rsidRPr="00B70C63" w:rsidRDefault="00F27E24" w:rsidP="00C12D3A">
      <w:pPr>
        <w:spacing w:before="0" w:after="0" w:line="240" w:lineRule="auto"/>
        <w:jc w:val="right"/>
        <w:rPr>
          <w:rFonts w:cs="Arial"/>
          <w:i/>
          <w:szCs w:val="22"/>
        </w:rPr>
      </w:pPr>
      <w:r w:rsidRPr="00B70C63">
        <w:rPr>
          <w:i/>
          <w:iCs/>
        </w:rPr>
        <w:t xml:space="preserve">If data quality issues were </w:t>
      </w:r>
      <w:r w:rsidR="007640B6" w:rsidRPr="00B70C63">
        <w:rPr>
          <w:i/>
          <w:iCs/>
        </w:rPr>
        <w:t>identified</w:t>
      </w:r>
      <w:r w:rsidRPr="00B70C63">
        <w:rPr>
          <w:i/>
          <w:iCs/>
        </w:rPr>
        <w:t xml:space="preserve"> in Section A, we recommend completing Sections B and C</w:t>
      </w:r>
      <w:r w:rsidR="00111FB2">
        <w:rPr>
          <w:i/>
          <w:iCs/>
        </w:rPr>
        <w:t xml:space="preserve"> below</w:t>
      </w:r>
      <w:r w:rsidRPr="00B70C63">
        <w:rPr>
          <w:i/>
          <w:iCs/>
        </w:rPr>
        <w:t xml:space="preserve"> to </w:t>
      </w:r>
      <w:r w:rsidR="007640B6" w:rsidRPr="00B70C63">
        <w:rPr>
          <w:i/>
          <w:iCs/>
        </w:rPr>
        <w:t>determine</w:t>
      </w:r>
      <w:r w:rsidRPr="00B70C63">
        <w:rPr>
          <w:i/>
          <w:iCs/>
        </w:rPr>
        <w:t xml:space="preserve"> the source of the issue(s).</w:t>
      </w:r>
      <w:r w:rsidR="007D114F" w:rsidRPr="00B70C63">
        <w:rPr>
          <w:rFonts w:eastAsiaTheme="majorEastAsia" w:cstheme="majorBidi"/>
          <w:b/>
          <w:i/>
          <w:color w:val="004050" w:themeColor="accent2" w:themeShade="80"/>
          <w:sz w:val="30"/>
          <w:szCs w:val="32"/>
        </w:rPr>
        <w:br w:type="page"/>
      </w:r>
    </w:p>
    <w:p w14:paraId="56AA9F75" w14:textId="1F282795" w:rsidR="00B45EAD" w:rsidRDefault="00B45EAD" w:rsidP="009211B6">
      <w:pPr>
        <w:pStyle w:val="Heading2"/>
        <w:spacing w:after="0"/>
      </w:pPr>
      <w:bookmarkStart w:id="6" w:name="_Section_B._Review"/>
      <w:bookmarkEnd w:id="6"/>
      <w:r w:rsidRPr="00B45EAD">
        <w:lastRenderedPageBreak/>
        <w:t xml:space="preserve">Section </w:t>
      </w:r>
      <w:r w:rsidR="007D114F">
        <w:t>B</w:t>
      </w:r>
      <w:r w:rsidRPr="00B45EAD">
        <w:t>. Review Mappings</w:t>
      </w:r>
    </w:p>
    <w:p w14:paraId="63FA1324" w14:textId="77777777" w:rsidR="00C90C93" w:rsidRDefault="00C90C93" w:rsidP="00C12D3A">
      <w:pPr>
        <w:spacing w:before="0" w:after="0" w:line="240" w:lineRule="auto"/>
      </w:pPr>
    </w:p>
    <w:p w14:paraId="34C78AA9" w14:textId="1D9EAE71" w:rsidR="00B45EAD" w:rsidRDefault="00B45EAD" w:rsidP="00C12D3A">
      <w:pPr>
        <w:spacing w:before="0" w:after="0" w:line="240" w:lineRule="auto"/>
      </w:pPr>
      <w:r w:rsidRPr="00B45EAD">
        <w:t>The NHSN AU Option uses data on antimicrobial administrations captured by the eMAR or BCMA system within the facility’s EHR. Additionally, some facilities feed the data from the EHR into a third-party surveillance software. Review the illustration below showing Possible Configuration Option</w:t>
      </w:r>
      <w:r w:rsidR="008F5A3E">
        <w:t>s</w:t>
      </w:r>
      <w:r w:rsidRPr="00B45EAD">
        <w:t xml:space="preserve"> 1 and 2 to determine how your AU data </w:t>
      </w:r>
      <w:proofErr w:type="gramStart"/>
      <w:r w:rsidRPr="00B45EAD">
        <w:t>get</w:t>
      </w:r>
      <w:proofErr w:type="gramEnd"/>
      <w:r w:rsidRPr="00B45EAD">
        <w:t xml:space="preserve"> from the eMAR/BCMA system to NHSN.</w:t>
      </w:r>
    </w:p>
    <w:p w14:paraId="75E6A670" w14:textId="77777777" w:rsidR="00560E4F" w:rsidRDefault="00560E4F" w:rsidP="00C12D3A">
      <w:pPr>
        <w:spacing w:before="0" w:after="0" w:line="240" w:lineRule="auto"/>
      </w:pPr>
    </w:p>
    <w:p w14:paraId="0EED7A1B" w14:textId="77777777" w:rsidR="00B45EAD" w:rsidRDefault="00244C63" w:rsidP="00C12D3A">
      <w:pPr>
        <w:spacing w:before="0" w:after="0" w:line="240" w:lineRule="auto"/>
        <w:rPr>
          <w:b/>
          <w:bCs/>
          <w:color w:val="auto"/>
          <w:szCs w:val="22"/>
        </w:rPr>
      </w:pPr>
      <w:r>
        <w:rPr>
          <w:noProof/>
        </w:rPr>
        <w:drawing>
          <wp:inline distT="0" distB="0" distL="0" distR="0" wp14:anchorId="0FF63732" wp14:editId="12CADFD6">
            <wp:extent cx="6392385" cy="3595716"/>
            <wp:effectExtent l="0" t="0" r="8890" b="5080"/>
            <wp:docPr id="1230662782" name="Picture 1" descr="Figure showing possible configurations for how AU data gets from the electronic medication administration record (eMAR) or bar-coding medication administration (BCMA) system to NHS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62782" name="Picture 1" descr="Figure showing possible configurations for how AU data gets from the electronic medication administration record (eMAR) or bar-coding medication administration (BCMA) system to NHSN."/>
                    <pic:cNvPicPr/>
                  </pic:nvPicPr>
                  <pic:blipFill>
                    <a:blip r:embed="rId23">
                      <a:extLst>
                        <a:ext uri="{28A0092B-C50C-407E-A947-70E740481C1C}">
                          <a14:useLocalDpi xmlns:a14="http://schemas.microsoft.com/office/drawing/2010/main" val="0"/>
                        </a:ext>
                      </a:extLst>
                    </a:blip>
                    <a:stretch>
                      <a:fillRect/>
                    </a:stretch>
                  </pic:blipFill>
                  <pic:spPr>
                    <a:xfrm>
                      <a:off x="0" y="0"/>
                      <a:ext cx="6392385" cy="3595716"/>
                    </a:xfrm>
                    <a:prstGeom prst="rect">
                      <a:avLst/>
                    </a:prstGeom>
                  </pic:spPr>
                </pic:pic>
              </a:graphicData>
            </a:graphic>
          </wp:inline>
        </w:drawing>
      </w:r>
    </w:p>
    <w:p w14:paraId="6541A0A2" w14:textId="77777777" w:rsidR="00C90C93" w:rsidRDefault="00C90C93" w:rsidP="00C12D3A">
      <w:pPr>
        <w:spacing w:before="0" w:after="0" w:line="240" w:lineRule="auto"/>
        <w:rPr>
          <w:color w:val="auto"/>
          <w:szCs w:val="22"/>
        </w:rPr>
      </w:pPr>
    </w:p>
    <w:p w14:paraId="676DFAD2" w14:textId="6ABCBA3D" w:rsidR="00B45EAD" w:rsidRDefault="00B45EAD" w:rsidP="00C12D3A">
      <w:pPr>
        <w:spacing w:before="0" w:after="0" w:line="240" w:lineRule="auto"/>
        <w:rPr>
          <w:color w:val="auto"/>
          <w:szCs w:val="22"/>
        </w:rPr>
      </w:pPr>
      <w:r w:rsidRPr="00B45EAD">
        <w:rPr>
          <w:color w:val="auto"/>
          <w:szCs w:val="22"/>
        </w:rPr>
        <w:t xml:space="preserve">During the implementation of reporting your AU data, it is essential to ensure that data feeds, including eMAR and BCMA, are properly integrated with your third-party system. Further, specific variables like locations/units and antimicrobials need to be mapped to standardized value sets. The questions in this section will guide you in checking these mappings. </w:t>
      </w:r>
    </w:p>
    <w:p w14:paraId="54AC7FEA" w14:textId="77777777" w:rsidR="00B45EAD" w:rsidRPr="00B45EAD" w:rsidRDefault="00B45EAD" w:rsidP="00C12D3A">
      <w:pPr>
        <w:spacing w:before="0" w:after="0" w:line="240" w:lineRule="auto"/>
        <w:rPr>
          <w:color w:val="auto"/>
          <w:szCs w:val="22"/>
        </w:rPr>
      </w:pPr>
    </w:p>
    <w:p w14:paraId="2DAA0019" w14:textId="77777777" w:rsidR="00B45EAD" w:rsidRDefault="00B45EAD" w:rsidP="00C12D3A">
      <w:pPr>
        <w:spacing w:before="0" w:after="0" w:line="240" w:lineRule="auto"/>
        <w:rPr>
          <w:color w:val="auto"/>
          <w:szCs w:val="22"/>
        </w:rPr>
      </w:pPr>
      <w:r w:rsidRPr="00B45EAD">
        <w:rPr>
          <w:color w:val="auto"/>
          <w:szCs w:val="22"/>
        </w:rPr>
        <w:t xml:space="preserve">For subsections 1 and 2 below, you’ll compare the output from your AU surveillance vendor with the data input from your eMAR/BCMA and shown in your EHR as illustrated in Possible Configuration Option 2 in the figure above. Alternatively, if you don’t use a third-party software, you’ll be reviewing the EHR data for accuracy as shown in Possible Configuration Option 1 in the figure above. </w:t>
      </w:r>
    </w:p>
    <w:p w14:paraId="311651E4" w14:textId="77777777" w:rsidR="00B45EAD" w:rsidRPr="00B45EAD" w:rsidRDefault="00B45EAD" w:rsidP="00C12D3A">
      <w:pPr>
        <w:spacing w:before="0" w:after="0" w:line="240" w:lineRule="auto"/>
        <w:rPr>
          <w:color w:val="auto"/>
          <w:szCs w:val="22"/>
        </w:rPr>
      </w:pPr>
    </w:p>
    <w:p w14:paraId="20B5BB50" w14:textId="4E64DF15" w:rsidR="00B45EAD" w:rsidRDefault="00B45EAD" w:rsidP="00C12D3A">
      <w:pPr>
        <w:spacing w:before="0" w:after="0" w:line="240" w:lineRule="auto"/>
        <w:rPr>
          <w:color w:val="auto"/>
          <w:szCs w:val="22"/>
        </w:rPr>
      </w:pPr>
      <w:r w:rsidRPr="00B45EAD">
        <w:rPr>
          <w:color w:val="auto"/>
          <w:szCs w:val="22"/>
        </w:rPr>
        <w:t xml:space="preserve">To have a reference for crosschecking between your facility’s original source of data and your AU reporting, the validator should generate a line list of agents administered per day, per patient, </w:t>
      </w:r>
      <w:proofErr w:type="gramStart"/>
      <w:r w:rsidRPr="00B45EAD">
        <w:rPr>
          <w:color w:val="auto"/>
          <w:szCs w:val="22"/>
        </w:rPr>
        <w:t>per</w:t>
      </w:r>
      <w:r w:rsidR="0037158B">
        <w:rPr>
          <w:color w:val="auto"/>
          <w:szCs w:val="22"/>
        </w:rPr>
        <w:t xml:space="preserve"> </w:t>
      </w:r>
      <w:r w:rsidRPr="00B45EAD">
        <w:rPr>
          <w:color w:val="auto"/>
          <w:szCs w:val="22"/>
        </w:rPr>
        <w:t>patient care location</w:t>
      </w:r>
      <w:proofErr w:type="gramEnd"/>
      <w:r w:rsidRPr="00B45EAD">
        <w:rPr>
          <w:color w:val="auto"/>
          <w:szCs w:val="22"/>
        </w:rPr>
        <w:t>. Data fields associated with the agents administered should include patient identifier, antimicrobial agent, route and date of administration, and location of patient for all inpatient locations, emergency departments (EDs), and 24-hour observation locations as applicable. We recommend generating this line list for 1 month (or 7 days for large facilities) from the output of the system being used to submit AU Option data to NHSN (eMAR/BCMA for Possible Configuration Option 1; one list from eMAR/BCMA and one list from the third-party software for Possible Configuration Option 2).</w:t>
      </w:r>
    </w:p>
    <w:p w14:paraId="34BC6447" w14:textId="77777777" w:rsidR="00B45EAD" w:rsidRDefault="00B45EAD" w:rsidP="00C12D3A">
      <w:pPr>
        <w:spacing w:before="0" w:after="0" w:line="240" w:lineRule="auto"/>
        <w:rPr>
          <w:color w:val="auto"/>
          <w:szCs w:val="22"/>
        </w:rPr>
      </w:pPr>
    </w:p>
    <w:p w14:paraId="05F7A830" w14:textId="17085F5E" w:rsidR="00B45EAD" w:rsidRDefault="00B45EAD" w:rsidP="00C12D3A">
      <w:pPr>
        <w:spacing w:before="0" w:after="0" w:line="240" w:lineRule="auto"/>
        <w:rPr>
          <w:color w:val="auto"/>
          <w:szCs w:val="22"/>
        </w:rPr>
      </w:pPr>
      <w:r w:rsidRPr="00B45EAD">
        <w:rPr>
          <w:color w:val="auto"/>
          <w:szCs w:val="22"/>
        </w:rPr>
        <w:lastRenderedPageBreak/>
        <w:t>For subsection 3 below, you will verify the locations in your NHSN facility match the locations used in the vendor system you plan to use to submit AU data to NHSN.</w:t>
      </w:r>
    </w:p>
    <w:p w14:paraId="325C80A6" w14:textId="77777777" w:rsidR="00B45EAD" w:rsidRPr="00B45EAD" w:rsidRDefault="00B45EAD" w:rsidP="00C12D3A">
      <w:pPr>
        <w:spacing w:before="0" w:after="0" w:line="240" w:lineRule="auto"/>
      </w:pPr>
    </w:p>
    <w:p w14:paraId="76DFA8D4" w14:textId="6CEFA3B9" w:rsidR="00B45EAD" w:rsidRDefault="00B45EAD" w:rsidP="00C12D3A">
      <w:pPr>
        <w:pStyle w:val="Heading2"/>
        <w:spacing w:before="0" w:after="0" w:line="240" w:lineRule="auto"/>
        <w:rPr>
          <w:color w:val="47264F" w:themeColor="accent5"/>
          <w:sz w:val="26"/>
          <w:szCs w:val="26"/>
        </w:rPr>
      </w:pPr>
      <w:bookmarkStart w:id="7" w:name="_1._Review_mappings"/>
      <w:bookmarkEnd w:id="7"/>
      <w:r w:rsidRPr="00B45EAD">
        <w:rPr>
          <w:bCs/>
          <w:color w:val="47264F" w:themeColor="accent5"/>
          <w:sz w:val="26"/>
          <w:szCs w:val="26"/>
        </w:rPr>
        <w:t>1.</w:t>
      </w:r>
      <w:r>
        <w:rPr>
          <w:color w:val="47264F" w:themeColor="accent5"/>
          <w:sz w:val="26"/>
          <w:szCs w:val="26"/>
        </w:rPr>
        <w:t xml:space="preserve"> </w:t>
      </w:r>
      <w:r w:rsidRPr="00B45EAD">
        <w:rPr>
          <w:color w:val="47264F" w:themeColor="accent5"/>
          <w:sz w:val="26"/>
          <w:szCs w:val="26"/>
        </w:rPr>
        <w:t xml:space="preserve">Review mappings for patient care locations </w:t>
      </w:r>
      <w:r w:rsidR="00453CC4">
        <w:rPr>
          <w:color w:val="47264F" w:themeColor="accent5"/>
          <w:sz w:val="26"/>
          <w:szCs w:val="26"/>
        </w:rPr>
        <w:t>and</w:t>
      </w:r>
      <w:r w:rsidRPr="00B45EAD">
        <w:rPr>
          <w:color w:val="47264F" w:themeColor="accent5"/>
          <w:sz w:val="26"/>
          <w:szCs w:val="26"/>
        </w:rPr>
        <w:t xml:space="preserve"> antimicrobial agents</w:t>
      </w:r>
    </w:p>
    <w:p w14:paraId="0D9C6465" w14:textId="77777777" w:rsidR="00B45EAD" w:rsidRDefault="00B45EAD" w:rsidP="00C12D3A">
      <w:pPr>
        <w:spacing w:before="0" w:after="0" w:line="240" w:lineRule="auto"/>
        <w:rPr>
          <w:b/>
          <w:bCs/>
        </w:rPr>
      </w:pPr>
    </w:p>
    <w:p w14:paraId="1F2689EB" w14:textId="03D276D5" w:rsidR="00BE767E" w:rsidRPr="00B45EAD" w:rsidRDefault="00B45EAD" w:rsidP="00C12D3A">
      <w:pPr>
        <w:spacing w:before="0" w:after="0" w:line="240" w:lineRule="auto"/>
        <w:rPr>
          <w:b/>
          <w:bCs/>
        </w:rPr>
      </w:pPr>
      <w:r w:rsidRPr="00B45EAD">
        <w:rPr>
          <w:b/>
          <w:bCs/>
        </w:rPr>
        <w:t>Methodology</w:t>
      </w:r>
      <w:r w:rsidRPr="000B0909">
        <w:t>:</w:t>
      </w:r>
    </w:p>
    <w:p w14:paraId="52B29F0D" w14:textId="77777777" w:rsidR="00EA4E60" w:rsidRDefault="00EA4E60" w:rsidP="00C12D3A">
      <w:pPr>
        <w:spacing w:before="0" w:after="0" w:line="240" w:lineRule="auto"/>
        <w:rPr>
          <w:b/>
          <w:bCs/>
        </w:rPr>
      </w:pPr>
    </w:p>
    <w:p w14:paraId="161F886A" w14:textId="58F539AE" w:rsidR="00BE767E" w:rsidRDefault="00B45EAD" w:rsidP="00C12D3A">
      <w:pPr>
        <w:spacing w:before="0" w:after="0" w:line="240" w:lineRule="auto"/>
      </w:pPr>
      <w:r w:rsidRPr="00BE767E">
        <w:rPr>
          <w:b/>
          <w:bCs/>
        </w:rPr>
        <w:t>Possible Configuration Option 1</w:t>
      </w:r>
      <w:r>
        <w:t xml:space="preserve">: If you will be using your EHR to submit AU Option data to NHSN, we recommend reviewing patients with the scenarios below directly in your EHR to ensure the EHR is accurately capturing these data. </w:t>
      </w:r>
    </w:p>
    <w:p w14:paraId="136BD675" w14:textId="77777777" w:rsidR="00EA4E60" w:rsidRDefault="00EA4E60" w:rsidP="00C12D3A">
      <w:pPr>
        <w:spacing w:before="0" w:after="0" w:line="240" w:lineRule="auto"/>
      </w:pPr>
    </w:p>
    <w:p w14:paraId="19945A2D" w14:textId="32B8B140" w:rsidR="00B45EAD" w:rsidRDefault="00B45EAD" w:rsidP="00C12D3A">
      <w:pPr>
        <w:spacing w:before="0" w:after="0" w:line="240" w:lineRule="auto"/>
      </w:pPr>
      <w:r w:rsidRPr="00BE767E">
        <w:rPr>
          <w:b/>
          <w:bCs/>
        </w:rPr>
        <w:t>Possible Configuration Option 2</w:t>
      </w:r>
      <w:r>
        <w:t>: Compare the line list generated from the third-party software that will be used to submit AU data to NHSN to the hospital-based eMAR report or use manual confirmation of eMAR/BCMA to review the following patient-level scenarios.</w:t>
      </w:r>
    </w:p>
    <w:p w14:paraId="6D549274" w14:textId="77777777" w:rsidR="00B45EAD" w:rsidRDefault="00B45EAD" w:rsidP="00B70C63">
      <w:pPr>
        <w:spacing w:before="0" w:after="0" w:line="240" w:lineRule="auto"/>
      </w:pPr>
    </w:p>
    <w:p w14:paraId="18BAE720" w14:textId="5F65DBD4" w:rsidR="00B45EAD" w:rsidRDefault="00B45EAD" w:rsidP="00C12D3A">
      <w:pPr>
        <w:spacing w:before="0" w:after="0" w:line="240" w:lineRule="auto"/>
      </w:pPr>
      <w:r>
        <w:t xml:space="preserve">We recommend reviewing five patients per scenario. Your vendor may have additional tools available </w:t>
      </w:r>
      <w:r w:rsidR="008C57D1">
        <w:t>to facilitate</w:t>
      </w:r>
      <w:r>
        <w:t xml:space="preserve"> this section. </w:t>
      </w:r>
      <w:r w:rsidRPr="00CC6276">
        <w:rPr>
          <w:u w:val="single"/>
        </w:rPr>
        <w:t>We recommend contacting your vendor representative prior to starting this section</w:t>
      </w:r>
      <w:r>
        <w:t>.</w:t>
      </w:r>
    </w:p>
    <w:p w14:paraId="55417364" w14:textId="77777777" w:rsidR="00B45EAD" w:rsidRDefault="00B45EAD" w:rsidP="00C12D3A">
      <w:pPr>
        <w:spacing w:before="0" w:after="0" w:line="240" w:lineRule="auto"/>
      </w:pPr>
    </w:p>
    <w:p w14:paraId="6591B8AE" w14:textId="3282827F" w:rsidR="009A390F" w:rsidRDefault="00B45EAD" w:rsidP="00C12D3A">
      <w:pPr>
        <w:pStyle w:val="ListParagraph"/>
        <w:numPr>
          <w:ilvl w:val="0"/>
          <w:numId w:val="40"/>
        </w:numPr>
        <w:spacing w:after="0" w:line="240" w:lineRule="auto"/>
      </w:pPr>
      <w:r>
        <w:t xml:space="preserve">Some facilities house observation patients in an inpatient location rather than a designated outpatient unit for 24-hour observation. </w:t>
      </w:r>
      <w:r w:rsidR="00C04952" w:rsidRPr="009A390F">
        <w:t xml:space="preserve">If </w:t>
      </w:r>
      <w:r w:rsidR="00C04952">
        <w:t>these observation patients</w:t>
      </w:r>
      <w:r w:rsidR="00C04C7D">
        <w:t>’</w:t>
      </w:r>
      <w:r w:rsidR="00C04952">
        <w:t xml:space="preserve"> administrations</w:t>
      </w:r>
      <w:r w:rsidR="00C04952" w:rsidRPr="009A390F">
        <w:t xml:space="preserve"> </w:t>
      </w:r>
      <w:r w:rsidR="00C04952">
        <w:t xml:space="preserve">are not </w:t>
      </w:r>
      <w:r w:rsidR="00C04952" w:rsidRPr="009A390F">
        <w:t>correctly attributed to the inpatient location where they were physically housed at the time of administration</w:t>
      </w:r>
      <w:r w:rsidR="00C04952">
        <w:t xml:space="preserve">, </w:t>
      </w:r>
      <w:r w:rsidR="0072711F">
        <w:t>this should be corrected</w:t>
      </w:r>
      <w:r w:rsidR="003453CD">
        <w:t xml:space="preserve"> in your vendor system</w:t>
      </w:r>
      <w:r w:rsidR="0072711F">
        <w:t>. E</w:t>
      </w:r>
      <w:r w:rsidR="00C04952">
        <w:t>nsure your vendor software include</w:t>
      </w:r>
      <w:r w:rsidR="003D08DD">
        <w:t>s</w:t>
      </w:r>
      <w:r w:rsidR="00C04952">
        <w:t xml:space="preserve"> these patients in the antimicrobial days (numerator) and days present (denominator) for the location in which they are physically located, regardless of patient status (for example, inpatient, outpatient, observation).</w:t>
      </w:r>
    </w:p>
    <w:p w14:paraId="5FBD7740" w14:textId="77777777" w:rsidR="00B45EAD" w:rsidRDefault="00B45EAD" w:rsidP="00C12D3A">
      <w:pPr>
        <w:spacing w:before="0" w:after="0" w:line="240" w:lineRule="auto"/>
        <w:ind w:left="720" w:hanging="360"/>
      </w:pPr>
    </w:p>
    <w:p w14:paraId="10BB7575" w14:textId="7992A9FD" w:rsidR="0024146D" w:rsidRDefault="00B45EAD" w:rsidP="00C12D3A">
      <w:pPr>
        <w:pStyle w:val="ListParagraph"/>
        <w:numPr>
          <w:ilvl w:val="0"/>
          <w:numId w:val="40"/>
        </w:numPr>
        <w:spacing w:after="0" w:line="240" w:lineRule="auto"/>
      </w:pPr>
      <w:r>
        <w:t xml:space="preserve">Some facilities may use a different vendor system for their outpatient locations (specifically, outpatient ED, pediatric ED, and 24-hour observation area) compared to their inpatient locations. Regardless of whether you use the same or different system for your outpatient units, review patients admitted to an inpatient location through the ED and/or 24-hour observation location. </w:t>
      </w:r>
      <w:r w:rsidR="00AA1719">
        <w:t xml:space="preserve">If </w:t>
      </w:r>
      <w:r w:rsidR="00D20164">
        <w:t xml:space="preserve">the vendor system is </w:t>
      </w:r>
      <w:r w:rsidR="009F6AEC">
        <w:t>mis</w:t>
      </w:r>
      <w:r w:rsidR="00D20164">
        <w:t>attribut</w:t>
      </w:r>
      <w:r w:rsidR="000B504D">
        <w:t xml:space="preserve">ing </w:t>
      </w:r>
      <w:r w:rsidR="000B504D" w:rsidRPr="0024146D">
        <w:t xml:space="preserve">antimicrobials administered in the ED and/or 24-hour observation location </w:t>
      </w:r>
      <w:r w:rsidR="00BC7F03">
        <w:t xml:space="preserve">to </w:t>
      </w:r>
      <w:r w:rsidR="00CD0194">
        <w:t>the</w:t>
      </w:r>
      <w:r w:rsidR="000B504D">
        <w:t xml:space="preserve"> inpatient location</w:t>
      </w:r>
      <w:r w:rsidR="00822559">
        <w:t>,</w:t>
      </w:r>
      <w:r w:rsidR="000B504D">
        <w:t xml:space="preserve"> or </w:t>
      </w:r>
      <w:r w:rsidR="000B504D" w:rsidRPr="0024146D">
        <w:t xml:space="preserve">antimicrobials administered in the inpatient location to the </w:t>
      </w:r>
      <w:r w:rsidR="00593BFF">
        <w:t>ED and/or 24-hour observation</w:t>
      </w:r>
      <w:r w:rsidR="00E83F28">
        <w:t xml:space="preserve"> area</w:t>
      </w:r>
      <w:r w:rsidR="00593BFF">
        <w:t xml:space="preserve">, </w:t>
      </w:r>
      <w:r w:rsidR="00525EBF" w:rsidRPr="008D52FD">
        <w:t>work with your vendor to resolve the misattribution</w:t>
      </w:r>
      <w:r w:rsidR="00593BFF">
        <w:t xml:space="preserve">. </w:t>
      </w:r>
      <w:r w:rsidR="00CD50D3">
        <w:t>Check</w:t>
      </w:r>
      <w:r w:rsidR="00867B93">
        <w:t xml:space="preserve"> </w:t>
      </w:r>
      <w:r w:rsidR="0046023B" w:rsidRPr="0024146D">
        <w:t>that the vendor system attribut</w:t>
      </w:r>
      <w:r w:rsidR="00EF7228">
        <w:t>es</w:t>
      </w:r>
      <w:r w:rsidR="0046023B" w:rsidRPr="0024146D">
        <w:t xml:space="preserve"> antimicrobials </w:t>
      </w:r>
      <w:r w:rsidR="00D45ECE">
        <w:t>to the location where they were administered</w:t>
      </w:r>
      <w:r w:rsidR="0046023B" w:rsidRPr="0024146D">
        <w:t>.</w:t>
      </w:r>
    </w:p>
    <w:p w14:paraId="1E0AAF7A" w14:textId="77777777" w:rsidR="00B45EAD" w:rsidRDefault="00B45EAD" w:rsidP="00C12D3A">
      <w:pPr>
        <w:spacing w:before="0" w:after="0" w:line="240" w:lineRule="auto"/>
        <w:ind w:left="720" w:hanging="360"/>
      </w:pPr>
    </w:p>
    <w:p w14:paraId="1AFA97F1" w14:textId="621E3A3F" w:rsidR="00B45EAD" w:rsidRDefault="00FE1A2E" w:rsidP="00C12D3A">
      <w:pPr>
        <w:pStyle w:val="ListParagraph"/>
        <w:numPr>
          <w:ilvl w:val="0"/>
          <w:numId w:val="40"/>
        </w:numPr>
        <w:spacing w:after="0" w:line="240" w:lineRule="auto"/>
      </w:pPr>
      <w:r>
        <w:t xml:space="preserve">If you’ve found that antimicrobials administered to </w:t>
      </w:r>
      <w:r w:rsidR="00B45EAD">
        <w:t xml:space="preserve">patients transferred to and from NHSN procedural locations (for example, Operating Room, Interventional Radiology, Cardiac Catheterization Room/Suite, Cesarean Section Room/Suite, Post-anesthesia Care Unit/Recovery Room) </w:t>
      </w:r>
      <w:r w:rsidR="00383D48">
        <w:t>are not correctly</w:t>
      </w:r>
      <w:r w:rsidR="00B45EAD">
        <w:t xml:space="preserve"> </w:t>
      </w:r>
      <w:r w:rsidR="00D561D2">
        <w:t>reflected in</w:t>
      </w:r>
      <w:r w:rsidR="00B45EAD">
        <w:t xml:space="preserve"> the location where they received the antimicrobial</w:t>
      </w:r>
      <w:r w:rsidR="00383D48">
        <w:t xml:space="preserve">, </w:t>
      </w:r>
      <w:r w:rsidR="002108AE" w:rsidRPr="002108AE">
        <w:t>take steps to ensure the antimicrobial is a</w:t>
      </w:r>
      <w:r w:rsidR="006A057E">
        <w:t>ssigned</w:t>
      </w:r>
      <w:r w:rsidR="002108AE" w:rsidRPr="002108AE">
        <w:t xml:space="preserve"> to the correct location</w:t>
      </w:r>
      <w:r w:rsidR="00383D48">
        <w:t>.</w:t>
      </w:r>
      <w:r w:rsidR="002E181C">
        <w:t xml:space="preserve"> </w:t>
      </w:r>
      <w:r w:rsidR="00B45EAD">
        <w:t xml:space="preserve">For example, </w:t>
      </w:r>
      <w:proofErr w:type="gramStart"/>
      <w:r w:rsidR="00B45EAD">
        <w:t>confirm</w:t>
      </w:r>
      <w:proofErr w:type="gramEnd"/>
      <w:r w:rsidR="00B45EAD">
        <w:t xml:space="preserve"> an antimicrobial given in the Operating Room is attributed to the Operating Room while an antimicrobial given in the location the patient was housed prior to the Operating Room is attributed to that location. </w:t>
      </w:r>
    </w:p>
    <w:p w14:paraId="34BAD3A1" w14:textId="77777777" w:rsidR="00D211E0" w:rsidRDefault="00D211E0" w:rsidP="00C12D3A">
      <w:pPr>
        <w:spacing w:before="0" w:after="0" w:line="240" w:lineRule="auto"/>
        <w:ind w:left="720"/>
        <w:rPr>
          <w:b/>
          <w:bCs/>
        </w:rPr>
      </w:pPr>
    </w:p>
    <w:p w14:paraId="1AA3C102" w14:textId="14A262F3" w:rsidR="00B45EAD" w:rsidRDefault="00B45EAD" w:rsidP="00C12D3A">
      <w:pPr>
        <w:spacing w:before="0" w:after="0" w:line="240" w:lineRule="auto"/>
        <w:ind w:left="720"/>
      </w:pPr>
      <w:r w:rsidRPr="00B45EAD">
        <w:rPr>
          <w:b/>
          <w:bCs/>
        </w:rPr>
        <w:t>Note</w:t>
      </w:r>
      <w:r>
        <w:t>: NHSN does not have location mappings for designated preoperative, intraoperative, or perioperative locations because they are not eligible for NHSN healthcare-associated infection (HAI) reporting. For the AU Option, we recommend reporting eligible antimicrobial administrations given in a designated preoperative location under the NHSN procedural location where the patient will have their operation/procedure.</w:t>
      </w:r>
    </w:p>
    <w:p w14:paraId="17303602" w14:textId="77777777" w:rsidR="00B45EAD" w:rsidRDefault="00B45EAD" w:rsidP="00C12D3A">
      <w:pPr>
        <w:spacing w:before="0" w:after="0" w:line="240" w:lineRule="auto"/>
        <w:ind w:left="720" w:hanging="360"/>
      </w:pPr>
    </w:p>
    <w:p w14:paraId="09AFF13D" w14:textId="1469FE6C" w:rsidR="00B45EAD" w:rsidRDefault="00B45EAD" w:rsidP="00C12D3A">
      <w:pPr>
        <w:spacing w:before="0" w:after="0" w:line="240" w:lineRule="auto"/>
        <w:ind w:left="720" w:hanging="360"/>
      </w:pPr>
      <w:r>
        <w:t>d.</w:t>
      </w:r>
      <w:r>
        <w:tab/>
      </w:r>
      <w:r w:rsidR="00F93122">
        <w:t xml:space="preserve">If </w:t>
      </w:r>
      <w:r w:rsidR="00747108">
        <w:t xml:space="preserve">antimicrobials given to a newborn </w:t>
      </w:r>
      <w:r>
        <w:t>housed in the room with their mothers</w:t>
      </w:r>
      <w:r w:rsidR="00CE05C4">
        <w:t xml:space="preserve"> are </w:t>
      </w:r>
      <w:r w:rsidR="00CD7F5E">
        <w:t xml:space="preserve">attributed to </w:t>
      </w:r>
      <w:r w:rsidR="0086353F">
        <w:t xml:space="preserve">the </w:t>
      </w:r>
      <w:r w:rsidR="00CD7F5E" w:rsidRPr="00CD7F5E">
        <w:t>mother’s NHSN Labor &amp; Delivery Ward, Postpartum Ward, and/or Labor/Delivery/Recovery/</w:t>
      </w:r>
      <w:r w:rsidR="00A75A30">
        <w:t xml:space="preserve"> </w:t>
      </w:r>
      <w:r w:rsidR="00CD7F5E" w:rsidRPr="00CD7F5E">
        <w:t>Postpartum Suite (LDRP) location</w:t>
      </w:r>
      <w:r w:rsidR="00CD7F5E">
        <w:t xml:space="preserve">, </w:t>
      </w:r>
      <w:r w:rsidR="008750BA" w:rsidRPr="008750BA">
        <w:t>the location mapping</w:t>
      </w:r>
      <w:r w:rsidR="00703194">
        <w:t xml:space="preserve"> should be updated</w:t>
      </w:r>
      <w:r w:rsidR="00CD7F5E">
        <w:t xml:space="preserve">. </w:t>
      </w:r>
      <w:r w:rsidR="0086353F">
        <w:t>NHSN recommends capturing babies housed in the room with their mothers in a separate “virtual” nursery/NICU location within NHSN for the most accurate risk adjustment. If this is not possible, make note of where antimicrobial administrations are captured for newborns housed in the room with their mothers for your own internal analysis purposes.</w:t>
      </w:r>
    </w:p>
    <w:p w14:paraId="7E33C009" w14:textId="77777777" w:rsidR="00B45EAD" w:rsidRDefault="00B45EAD" w:rsidP="00C12D3A">
      <w:pPr>
        <w:spacing w:before="0" w:after="0" w:line="240" w:lineRule="auto"/>
      </w:pPr>
    </w:p>
    <w:p w14:paraId="566D5DFC" w14:textId="3B46A969" w:rsidR="00B45EAD" w:rsidRDefault="00B45EAD" w:rsidP="00C12D3A">
      <w:pPr>
        <w:pStyle w:val="Heading2"/>
        <w:spacing w:before="0" w:after="0" w:line="240" w:lineRule="auto"/>
        <w:rPr>
          <w:color w:val="47264F" w:themeColor="accent5"/>
          <w:sz w:val="26"/>
          <w:szCs w:val="26"/>
        </w:rPr>
      </w:pPr>
      <w:bookmarkStart w:id="8" w:name="_2._Confirm_appropriate"/>
      <w:bookmarkEnd w:id="8"/>
      <w:r>
        <w:rPr>
          <w:color w:val="47264F" w:themeColor="accent5"/>
          <w:sz w:val="26"/>
          <w:szCs w:val="26"/>
        </w:rPr>
        <w:t xml:space="preserve">2. </w:t>
      </w:r>
      <w:r w:rsidRPr="00B45EAD">
        <w:rPr>
          <w:color w:val="47264F" w:themeColor="accent5"/>
          <w:sz w:val="26"/>
          <w:szCs w:val="26"/>
        </w:rPr>
        <w:t>Confirm appropriate use of N/A versus zero</w:t>
      </w:r>
    </w:p>
    <w:p w14:paraId="55EC8072" w14:textId="77777777" w:rsidR="00B45EAD" w:rsidRDefault="00B45EAD" w:rsidP="00C12D3A">
      <w:pPr>
        <w:spacing w:before="0" w:after="0" w:line="240" w:lineRule="auto"/>
      </w:pPr>
    </w:p>
    <w:p w14:paraId="09218A24" w14:textId="20823FD5" w:rsidR="00B45EAD" w:rsidRDefault="00B45EAD" w:rsidP="00C12D3A">
      <w:pPr>
        <w:spacing w:before="0" w:after="0" w:line="240" w:lineRule="auto"/>
      </w:pPr>
      <w:r w:rsidRPr="00B45EAD">
        <w:rPr>
          <w:b/>
          <w:bCs/>
        </w:rPr>
        <w:t>Note</w:t>
      </w:r>
      <w:r>
        <w:t>: According to the AUR Module Protocol, “Not applicable (N/A)” is used when an antimicrobial can’t be electronically captured from the eMAR/BCMA while “0” is used when no patients were administered the drug and/or route(s) during the given month. Facilities should only use “N/A” for non-formulary agents when those agents, if administered, cannot be accurately electronically captured by the eMAR/BCMA system. NHSN expects facilities to consistently report “N/A” across all locations and FacWideIN and across months.</w:t>
      </w:r>
    </w:p>
    <w:p w14:paraId="7AB19EFA" w14:textId="77777777" w:rsidR="00B45EAD" w:rsidRDefault="00B45EAD" w:rsidP="00C12D3A">
      <w:pPr>
        <w:spacing w:before="0" w:after="0" w:line="240" w:lineRule="auto"/>
      </w:pPr>
    </w:p>
    <w:p w14:paraId="01CFD335" w14:textId="66BD4EEF" w:rsidR="00B45EAD" w:rsidRDefault="00B45EAD" w:rsidP="00C12D3A">
      <w:pPr>
        <w:spacing w:before="0" w:after="0" w:line="240" w:lineRule="auto"/>
        <w:ind w:left="720" w:hanging="360"/>
      </w:pPr>
      <w:r>
        <w:t>a.</w:t>
      </w:r>
      <w:r>
        <w:tab/>
        <w:t xml:space="preserve">List any antimicrobial agents and/or routes of administration that would require “N/A.” Describe any inconsistencies you identified and how you addressed the issues (for example, </w:t>
      </w:r>
      <w:proofErr w:type="spellStart"/>
      <w:r>
        <w:t>Nirsevimab</w:t>
      </w:r>
      <w:proofErr w:type="spellEnd"/>
      <w:r>
        <w:t xml:space="preserve"> or Nirmatrelvir). For instance, if any antimicrobial agents can be electronically captured but are not typically administered via that route, it should be reported as zero antimicrobial days for that route of administration instead of N/A. Additionally, if the total number of antimicrobial days is a numerical value, then none of the individual routes should be marked as N/A.</w:t>
      </w:r>
    </w:p>
    <w:p w14:paraId="480E4C77" w14:textId="77777777" w:rsidR="00B45EAD" w:rsidRDefault="00B45EAD" w:rsidP="00C12D3A">
      <w:pPr>
        <w:spacing w:before="0" w:after="0" w:line="240" w:lineRule="auto"/>
      </w:pPr>
    </w:p>
    <w:p w14:paraId="45ACC3BB" w14:textId="71F0BAB6" w:rsidR="00B45EAD" w:rsidRDefault="00B45EAD" w:rsidP="00C12D3A">
      <w:pPr>
        <w:pStyle w:val="Heading2"/>
        <w:spacing w:before="0" w:after="0" w:line="240" w:lineRule="auto"/>
        <w:rPr>
          <w:color w:val="47264F" w:themeColor="accent5"/>
          <w:sz w:val="26"/>
          <w:szCs w:val="26"/>
        </w:rPr>
      </w:pPr>
      <w:bookmarkStart w:id="9" w:name="_3._Review_locations"/>
      <w:bookmarkEnd w:id="9"/>
      <w:r>
        <w:rPr>
          <w:color w:val="47264F" w:themeColor="accent5"/>
          <w:sz w:val="26"/>
          <w:szCs w:val="26"/>
        </w:rPr>
        <w:t>3. Review locations mapped in NHSN</w:t>
      </w:r>
    </w:p>
    <w:p w14:paraId="29693F43" w14:textId="77777777" w:rsidR="00B45EAD" w:rsidRDefault="00B45EAD" w:rsidP="00C12D3A">
      <w:pPr>
        <w:spacing w:before="0" w:after="0" w:line="240" w:lineRule="auto"/>
      </w:pPr>
    </w:p>
    <w:p w14:paraId="0E9DA16C" w14:textId="77777777" w:rsidR="00B45EAD" w:rsidRDefault="00B45EAD" w:rsidP="00C12D3A">
      <w:pPr>
        <w:spacing w:before="0" w:after="0" w:line="240" w:lineRule="auto"/>
      </w:pPr>
      <w:r w:rsidRPr="00B45EAD">
        <w:rPr>
          <w:b/>
          <w:bCs/>
        </w:rPr>
        <w:t>Methodology</w:t>
      </w:r>
      <w:r>
        <w:t>: Correct location mapping is very important when submitting AU data to NHSN as it allows for appropriate risk adjustment within the AU SAARs. With the NHSN Facility Administrator (or representative from your Infection Control and Prevention team), review the NHSN Locations used for reporting to NHSN. Review the locations in the NHSN Location Manager or export the list of locations used within your NHSN facility by navigating to Facility &gt; Locations &gt; Export Location List within NHSN.</w:t>
      </w:r>
    </w:p>
    <w:p w14:paraId="4C2FD0B8" w14:textId="77777777" w:rsidR="00D211E0" w:rsidRDefault="00D211E0" w:rsidP="00C12D3A">
      <w:pPr>
        <w:spacing w:before="0" w:after="0" w:line="240" w:lineRule="auto"/>
        <w:rPr>
          <w:b/>
          <w:bCs/>
        </w:rPr>
      </w:pPr>
    </w:p>
    <w:p w14:paraId="504674FD" w14:textId="1ADA7635" w:rsidR="00B45EAD" w:rsidRDefault="00B45EAD" w:rsidP="00C12D3A">
      <w:pPr>
        <w:spacing w:before="0" w:after="0" w:line="240" w:lineRule="auto"/>
      </w:pPr>
      <w:r w:rsidRPr="00B45EAD">
        <w:rPr>
          <w:b/>
          <w:bCs/>
        </w:rPr>
        <w:t>Note</w:t>
      </w:r>
      <w:r>
        <w:t xml:space="preserve">: </w:t>
      </w:r>
      <w:r w:rsidRPr="00D61984">
        <w:t>Facilities should use the same NHSN Locations for ALL NHSN reporting, including HAI and AU. Facilities should not map a different set of locations for AUR reporting (for example, “1 North” and “1 North AUR”). Facilities are encouraged to report AU data from all inpatient locations, which means facilities may report AU data for more locations than are used for HAI reporting (for example, Operating Rooms or specialty ward locations like labor and delivery).</w:t>
      </w:r>
    </w:p>
    <w:p w14:paraId="3A02F610" w14:textId="77777777" w:rsidR="00B45EAD" w:rsidRDefault="00B45EAD" w:rsidP="00C12D3A">
      <w:pPr>
        <w:spacing w:before="0" w:after="0" w:line="240" w:lineRule="auto"/>
      </w:pPr>
    </w:p>
    <w:p w14:paraId="1EA689B9" w14:textId="4BB4191C" w:rsidR="00B45EAD" w:rsidRDefault="00B45EAD" w:rsidP="00C12D3A">
      <w:pPr>
        <w:pStyle w:val="ListParagraph"/>
        <w:numPr>
          <w:ilvl w:val="0"/>
          <w:numId w:val="26"/>
        </w:numPr>
        <w:spacing w:after="0" w:line="240" w:lineRule="auto"/>
      </w:pPr>
      <w:r>
        <w:t xml:space="preserve">All physical inpatient locations, as well as outpatient EDs and 24-hour observation units, are mapped in the NHSN facility to the appropriate CDC Location Description outlined in the </w:t>
      </w:r>
      <w:hyperlink r:id="rId24" w:history="1">
        <w:r w:rsidRPr="006E74DF">
          <w:rPr>
            <w:rStyle w:val="Hyperlink"/>
            <w:color w:val="2A6CA8" w:themeColor="background2" w:themeShade="80"/>
          </w:rPr>
          <w:t>NHSN Locations Chapter</w:t>
        </w:r>
      </w:hyperlink>
      <w:r>
        <w:t>.</w:t>
      </w:r>
    </w:p>
    <w:p w14:paraId="7A5C2F8C" w14:textId="77777777" w:rsidR="00EA4E60" w:rsidRDefault="00EA4E60" w:rsidP="00C12D3A">
      <w:pPr>
        <w:pStyle w:val="ListParagraph"/>
        <w:spacing w:after="0" w:line="240" w:lineRule="auto"/>
        <w:ind w:left="720"/>
      </w:pPr>
    </w:p>
    <w:p w14:paraId="75FE43BD" w14:textId="77777777" w:rsidR="00B45EAD" w:rsidRDefault="00B45EAD" w:rsidP="00C12D3A">
      <w:pPr>
        <w:spacing w:before="0" w:after="0" w:line="240" w:lineRule="auto"/>
        <w:ind w:left="720"/>
      </w:pPr>
      <w:r w:rsidRPr="00D61984">
        <w:rPr>
          <w:b/>
          <w:bCs/>
        </w:rPr>
        <w:t>With approval from the NHSN Facility Administrator and Infection Control and Prevention team</w:t>
      </w:r>
      <w:r>
        <w:t xml:space="preserve">, update any locations that have changed patient mix since the last review (for example, changed from medical ward to medical/surgical ward). </w:t>
      </w:r>
    </w:p>
    <w:p w14:paraId="36799914" w14:textId="77777777" w:rsidR="00B45EAD" w:rsidRDefault="00B45EAD" w:rsidP="00C12D3A">
      <w:pPr>
        <w:spacing w:before="0" w:after="0" w:line="240" w:lineRule="auto"/>
        <w:ind w:left="720" w:hanging="360"/>
      </w:pPr>
    </w:p>
    <w:p w14:paraId="71F27200" w14:textId="77777777" w:rsidR="00B45EAD" w:rsidRDefault="00B45EAD" w:rsidP="00C12D3A">
      <w:pPr>
        <w:spacing w:before="0" w:after="0" w:line="240" w:lineRule="auto"/>
        <w:ind w:left="720" w:hanging="360"/>
      </w:pPr>
      <w:r>
        <w:t>b.</w:t>
      </w:r>
      <w:r>
        <w:tab/>
        <w:t>All NHSN locations, especially the “Your Code” and CDC Location Description, match the locations in your vendor software.</w:t>
      </w:r>
    </w:p>
    <w:p w14:paraId="7D0C4CC1" w14:textId="77777777" w:rsidR="00B45EAD" w:rsidRDefault="00B45EAD" w:rsidP="00C12D3A">
      <w:pPr>
        <w:spacing w:before="0" w:after="0" w:line="240" w:lineRule="auto"/>
        <w:ind w:left="720" w:hanging="360"/>
      </w:pPr>
    </w:p>
    <w:p w14:paraId="5BE97189" w14:textId="3FD79D6E" w:rsidR="00B45EAD" w:rsidRDefault="00B45EAD" w:rsidP="00C12D3A">
      <w:pPr>
        <w:spacing w:before="0" w:after="0" w:line="240" w:lineRule="auto"/>
        <w:ind w:left="720" w:hanging="360"/>
      </w:pPr>
      <w:r>
        <w:lastRenderedPageBreak/>
        <w:t>c.</w:t>
      </w:r>
      <w:r>
        <w:tab/>
      </w:r>
      <w:r w:rsidRPr="00D61984">
        <w:rPr>
          <w:b/>
          <w:bCs/>
        </w:rPr>
        <w:t xml:space="preserve">With approval from </w:t>
      </w:r>
      <w:r w:rsidR="008E7AF9" w:rsidRPr="00D61984">
        <w:rPr>
          <w:b/>
          <w:bCs/>
        </w:rPr>
        <w:t xml:space="preserve">your </w:t>
      </w:r>
      <w:r w:rsidRPr="00D61984">
        <w:rPr>
          <w:b/>
          <w:bCs/>
        </w:rPr>
        <w:t>NHSN Facility Administrator</w:t>
      </w:r>
      <w:r>
        <w:t xml:space="preserve">, </w:t>
      </w:r>
      <w:r w:rsidR="003D5B40">
        <w:t xml:space="preserve">users with administrative rights can </w:t>
      </w:r>
      <w:r>
        <w:t xml:space="preserve">inactivate all locations no longer housing patients from both the NHSN Location Manager and the vendor software. </w:t>
      </w:r>
    </w:p>
    <w:p w14:paraId="4F47B843" w14:textId="77777777" w:rsidR="00EA4E60" w:rsidRDefault="00EA4E60" w:rsidP="00C12D3A">
      <w:pPr>
        <w:spacing w:before="0" w:after="0" w:line="240" w:lineRule="auto"/>
        <w:ind w:left="720"/>
      </w:pPr>
    </w:p>
    <w:p w14:paraId="25B5847D" w14:textId="70CEF988" w:rsidR="00B45EAD" w:rsidRDefault="00B45EAD" w:rsidP="00C12D3A">
      <w:pPr>
        <w:spacing w:before="0" w:after="0" w:line="240" w:lineRule="auto"/>
        <w:ind w:left="720"/>
      </w:pPr>
      <w:r>
        <w:t xml:space="preserve">A guide to inactivating NHSN locations can be found here: </w:t>
      </w:r>
      <w:bookmarkStart w:id="10" w:name="_Hlk220413577"/>
      <w:r>
        <w:fldChar w:fldCharType="begin"/>
      </w:r>
      <w:r>
        <w:instrText>HYPERLINK "https://www.cdc.gov/nhsn/pdfs/locations/inactivate-location-508.pdf"</w:instrText>
      </w:r>
      <w:r>
        <w:fldChar w:fldCharType="separate"/>
      </w:r>
      <w:r w:rsidRPr="006E74DF">
        <w:rPr>
          <w:rStyle w:val="Hyperlink"/>
          <w:color w:val="2A6CA8" w:themeColor="background2" w:themeShade="80"/>
        </w:rPr>
        <w:t>Inactivate a CDC Location</w:t>
      </w:r>
      <w:r>
        <w:fldChar w:fldCharType="end"/>
      </w:r>
      <w:bookmarkEnd w:id="10"/>
      <w:r>
        <w:t xml:space="preserve">. Update your vendor system accordingly. </w:t>
      </w:r>
    </w:p>
    <w:p w14:paraId="3FA88295" w14:textId="77777777" w:rsidR="00B45EAD" w:rsidRDefault="00B45EAD" w:rsidP="00C12D3A">
      <w:pPr>
        <w:spacing w:before="0" w:after="0" w:line="240" w:lineRule="auto"/>
        <w:ind w:left="720" w:hanging="360"/>
      </w:pPr>
    </w:p>
    <w:p w14:paraId="3EA6596F" w14:textId="4DBF50A3" w:rsidR="00B45EAD" w:rsidRDefault="00B45EAD" w:rsidP="00C12D3A">
      <w:pPr>
        <w:pStyle w:val="ListParagraph"/>
        <w:numPr>
          <w:ilvl w:val="0"/>
          <w:numId w:val="40"/>
        </w:numPr>
        <w:spacing w:after="0" w:line="240" w:lineRule="auto"/>
      </w:pPr>
      <w:r>
        <w:t xml:space="preserve">Of the locations mapped in your NHSN facility, confirm that your vendor system can </w:t>
      </w:r>
      <w:r w:rsidRPr="00D61984">
        <w:rPr>
          <w:b/>
          <w:bCs/>
        </w:rPr>
        <w:t>accurately electronically</w:t>
      </w:r>
      <w:r>
        <w:t xml:space="preserve"> capture both the numerator (antimicrobial days) and denominator (days present). The vendor system should EXCLUDE any locations from the NHSN AU data submission where it cannot accurately capture the antimicrobial days and/or the days present for a specific location and/or FacWideIN. For example, if the vendor system cannot accurately capture the antimicrobial administrations in the Operating Room, then the system should exclude the Operating Room from all AU Option submissions. </w:t>
      </w:r>
    </w:p>
    <w:p w14:paraId="78910C8B" w14:textId="77777777" w:rsidR="00696D5E" w:rsidRDefault="00696D5E" w:rsidP="00C12D3A">
      <w:pPr>
        <w:pStyle w:val="ListParagraph"/>
        <w:spacing w:after="0" w:line="240" w:lineRule="auto"/>
        <w:ind w:left="720"/>
      </w:pPr>
    </w:p>
    <w:p w14:paraId="5A681B60" w14:textId="2C9A0748" w:rsidR="00696D5E" w:rsidRPr="00662296" w:rsidRDefault="00696D5E" w:rsidP="00C12D3A">
      <w:pPr>
        <w:pStyle w:val="ListParagraph"/>
        <w:numPr>
          <w:ilvl w:val="0"/>
          <w:numId w:val="40"/>
        </w:numPr>
        <w:spacing w:after="0" w:line="240" w:lineRule="auto"/>
      </w:pPr>
      <w:r w:rsidRPr="00696D5E">
        <w:t>Confirm that all NHSN-mapped locations correspond one-to-one with locations in your vendor system.</w:t>
      </w:r>
      <w:r w:rsidR="00C15EBB">
        <w:t xml:space="preserve"> Locations </w:t>
      </w:r>
      <w:r w:rsidR="006C54B3">
        <w:t>included in</w:t>
      </w:r>
      <w:r w:rsidR="00827DD3">
        <w:t xml:space="preserve"> your vendor system</w:t>
      </w:r>
      <w:r w:rsidR="006C54B3">
        <w:t xml:space="preserve"> shou</w:t>
      </w:r>
      <w:r w:rsidR="00280658">
        <w:t>ld be mapped within NHSN.</w:t>
      </w:r>
      <w:r w:rsidR="00F66511">
        <w:t xml:space="preserve"> We highly recommend</w:t>
      </w:r>
      <w:r w:rsidR="00697EF3">
        <w:t>,</w:t>
      </w:r>
      <w:r w:rsidR="00F66511">
        <w:t xml:space="preserve"> </w:t>
      </w:r>
      <w:r w:rsidR="00697EF3">
        <w:t xml:space="preserve">if feasible, </w:t>
      </w:r>
      <w:r w:rsidR="00807C91">
        <w:t>reporting</w:t>
      </w:r>
      <w:r w:rsidR="00697EF3">
        <w:t xml:space="preserve"> all patient care locations under HAI surveillance</w:t>
      </w:r>
      <w:r w:rsidR="00A4426B">
        <w:t xml:space="preserve"> (e.</w:t>
      </w:r>
      <w:r w:rsidR="00645165">
        <w:t>g</w:t>
      </w:r>
      <w:r w:rsidR="00A4426B">
        <w:t>. CLABSI and CAUTI)</w:t>
      </w:r>
      <w:r w:rsidR="00697EF3">
        <w:t xml:space="preserve"> </w:t>
      </w:r>
      <w:r w:rsidR="00645165">
        <w:t xml:space="preserve">and procedural locations </w:t>
      </w:r>
      <w:r w:rsidR="00697EF3">
        <w:t>to the AU Option.</w:t>
      </w:r>
    </w:p>
    <w:p w14:paraId="39EA07CE" w14:textId="77777777" w:rsidR="00B45EAD" w:rsidRDefault="00B45EAD" w:rsidP="00C12D3A">
      <w:pPr>
        <w:pStyle w:val="ListParagraph"/>
        <w:spacing w:after="0" w:line="240" w:lineRule="auto"/>
        <w:ind w:left="720"/>
      </w:pPr>
    </w:p>
    <w:p w14:paraId="56BECFB9" w14:textId="1C8B080B" w:rsidR="00C0331E" w:rsidRPr="00CC4118" w:rsidRDefault="00A76C1B" w:rsidP="00D61984">
      <w:pPr>
        <w:tabs>
          <w:tab w:val="center" w:pos="5040"/>
          <w:tab w:val="right" w:pos="10080"/>
        </w:tabs>
        <w:spacing w:before="0" w:after="0" w:line="240" w:lineRule="auto"/>
        <w:rPr>
          <w:i/>
          <w:iCs/>
        </w:rPr>
      </w:pPr>
      <w:r>
        <w:rPr>
          <w:i/>
          <w:iCs/>
        </w:rPr>
        <w:tab/>
      </w:r>
      <w:r>
        <w:rPr>
          <w:i/>
          <w:iCs/>
        </w:rPr>
        <w:tab/>
      </w:r>
      <w:r w:rsidR="00B45EAD" w:rsidRPr="00CC4118">
        <w:rPr>
          <w:i/>
          <w:iCs/>
        </w:rPr>
        <w:t xml:space="preserve">End Section </w:t>
      </w:r>
      <w:r w:rsidR="007D114F">
        <w:rPr>
          <w:i/>
          <w:iCs/>
        </w:rPr>
        <w:t>B</w:t>
      </w:r>
      <w:r w:rsidR="00B45EAD" w:rsidRPr="00CC4118">
        <w:rPr>
          <w:i/>
          <w:iCs/>
        </w:rPr>
        <w:t xml:space="preserve">: Review Mappings </w:t>
      </w:r>
    </w:p>
    <w:p w14:paraId="3668D839" w14:textId="56D5A1BF" w:rsidR="006C5F37" w:rsidRDefault="006C5F37" w:rsidP="00C12D3A">
      <w:pPr>
        <w:spacing w:before="0" w:after="0" w:line="240" w:lineRule="auto"/>
        <w:jc w:val="both"/>
        <w:sectPr w:rsidR="006C5F37" w:rsidSect="00C0331E">
          <w:footerReference w:type="default" r:id="rId25"/>
          <w:type w:val="continuous"/>
          <w:pgSz w:w="12240" w:h="15840"/>
          <w:pgMar w:top="1440" w:right="1080" w:bottom="1440" w:left="1080" w:header="288" w:footer="446" w:gutter="0"/>
          <w:cols w:space="720"/>
          <w:docGrid w:linePitch="360"/>
        </w:sectPr>
      </w:pPr>
    </w:p>
    <w:p w14:paraId="285A6A9A" w14:textId="1D1DDCF6" w:rsidR="00A32F81" w:rsidRDefault="00A32F81" w:rsidP="00C12D3A">
      <w:pPr>
        <w:spacing w:before="0" w:after="0" w:line="240" w:lineRule="auto"/>
        <w:rPr>
          <w:rFonts w:eastAsiaTheme="majorEastAsia" w:cstheme="majorBidi"/>
          <w:b/>
          <w:color w:val="004050" w:themeColor="accent2" w:themeShade="80"/>
          <w:sz w:val="30"/>
          <w:szCs w:val="32"/>
        </w:rPr>
      </w:pPr>
    </w:p>
    <w:p w14:paraId="669FEE76" w14:textId="77777777" w:rsidR="00696D5E" w:rsidRDefault="00696D5E" w:rsidP="00C12D3A">
      <w:pPr>
        <w:spacing w:before="0" w:after="160" w:line="278" w:lineRule="auto"/>
        <w:rPr>
          <w:rFonts w:eastAsiaTheme="majorEastAsia" w:cstheme="majorBidi"/>
          <w:b/>
          <w:color w:val="004050" w:themeColor="accent2" w:themeShade="80"/>
          <w:sz w:val="30"/>
          <w:szCs w:val="32"/>
        </w:rPr>
      </w:pPr>
      <w:r>
        <w:rPr>
          <w:rFonts w:eastAsiaTheme="majorEastAsia" w:cstheme="majorBidi"/>
          <w:b/>
          <w:color w:val="004050" w:themeColor="accent2" w:themeShade="80"/>
          <w:sz w:val="30"/>
          <w:szCs w:val="32"/>
        </w:rPr>
        <w:br w:type="page"/>
      </w:r>
    </w:p>
    <w:p w14:paraId="4056C934" w14:textId="1DB28AEF" w:rsidR="006C5F37" w:rsidRDefault="006C5F37" w:rsidP="009211B6">
      <w:pPr>
        <w:pStyle w:val="Heading2"/>
        <w:spacing w:after="0"/>
      </w:pPr>
      <w:bookmarkStart w:id="11" w:name="_Section_C._Validation"/>
      <w:bookmarkEnd w:id="11"/>
      <w:r w:rsidRPr="00B45EAD">
        <w:lastRenderedPageBreak/>
        <w:t xml:space="preserve">Section </w:t>
      </w:r>
      <w:r w:rsidR="007D114F">
        <w:t>C</w:t>
      </w:r>
      <w:r w:rsidRPr="00B45EAD">
        <w:t xml:space="preserve">. </w:t>
      </w:r>
      <w:r w:rsidRPr="006C5F37">
        <w:t>Validation of Data Aggregations and Calculations</w:t>
      </w:r>
    </w:p>
    <w:p w14:paraId="4CDDD765" w14:textId="77777777" w:rsidR="00A32F81" w:rsidRPr="00C25DC7" w:rsidRDefault="00A32F81" w:rsidP="00C12D3A">
      <w:pPr>
        <w:pStyle w:val="Heading2"/>
        <w:spacing w:before="0" w:after="0" w:line="240" w:lineRule="auto"/>
        <w:rPr>
          <w:bCs/>
          <w:color w:val="47264F" w:themeColor="accent5"/>
          <w:sz w:val="22"/>
          <w:szCs w:val="22"/>
        </w:rPr>
      </w:pPr>
    </w:p>
    <w:p w14:paraId="2A98F37F" w14:textId="5461F416" w:rsidR="006C5F37" w:rsidRDefault="006C5F37" w:rsidP="00C12D3A">
      <w:pPr>
        <w:pStyle w:val="Heading2"/>
        <w:spacing w:before="0" w:after="0" w:line="240" w:lineRule="auto"/>
        <w:rPr>
          <w:color w:val="47264F" w:themeColor="accent5"/>
          <w:sz w:val="26"/>
          <w:szCs w:val="26"/>
        </w:rPr>
      </w:pPr>
      <w:bookmarkStart w:id="12" w:name="_1._Review_aggregations"/>
      <w:bookmarkEnd w:id="12"/>
      <w:r w:rsidRPr="00B45EAD">
        <w:rPr>
          <w:bCs/>
          <w:color w:val="47264F" w:themeColor="accent5"/>
          <w:sz w:val="26"/>
          <w:szCs w:val="26"/>
        </w:rPr>
        <w:t>1.</w:t>
      </w:r>
      <w:r>
        <w:rPr>
          <w:color w:val="47264F" w:themeColor="accent5"/>
          <w:sz w:val="26"/>
          <w:szCs w:val="26"/>
        </w:rPr>
        <w:t xml:space="preserve"> </w:t>
      </w:r>
      <w:r w:rsidRPr="00B45EAD">
        <w:rPr>
          <w:color w:val="47264F" w:themeColor="accent5"/>
          <w:sz w:val="26"/>
          <w:szCs w:val="26"/>
        </w:rPr>
        <w:t xml:space="preserve">Review </w:t>
      </w:r>
      <w:r>
        <w:rPr>
          <w:color w:val="47264F" w:themeColor="accent5"/>
          <w:sz w:val="26"/>
          <w:szCs w:val="26"/>
        </w:rPr>
        <w:t>aggregations</w:t>
      </w:r>
    </w:p>
    <w:p w14:paraId="24AE2453" w14:textId="77777777" w:rsidR="00A32F81" w:rsidRDefault="00A32F81" w:rsidP="00C12D3A">
      <w:pPr>
        <w:spacing w:before="0" w:after="0" w:line="240" w:lineRule="auto"/>
      </w:pPr>
    </w:p>
    <w:p w14:paraId="1D34BF98" w14:textId="2C3ADCDE" w:rsidR="006C5F37" w:rsidRDefault="006C5F37" w:rsidP="00C12D3A">
      <w:pPr>
        <w:spacing w:before="0" w:after="0" w:line="240" w:lineRule="auto"/>
      </w:pPr>
      <w:r w:rsidRPr="006C5F37">
        <w:t xml:space="preserve">Although </w:t>
      </w:r>
      <w:hyperlink r:id="rId26" w:history="1">
        <w:r w:rsidRPr="006E74DF">
          <w:rPr>
            <w:rStyle w:val="Hyperlink"/>
            <w:color w:val="2A6CA8" w:themeColor="background2" w:themeShade="80"/>
          </w:rPr>
          <w:t>AU SDS validation</w:t>
        </w:r>
      </w:hyperlink>
      <w:r>
        <w:t xml:space="preserve"> </w:t>
      </w:r>
      <w:r w:rsidRPr="006C5F37">
        <w:t>checks would identify most of the aggregation issues outlined below, we still recommend facilities complete the steps below</w:t>
      </w:r>
      <w:r w:rsidR="004102F9">
        <w:t>,</w:t>
      </w:r>
      <w:r w:rsidRPr="006C5F37">
        <w:t xml:space="preserve"> as AU SDS validation does not account for every possible route or antimicrobial combination encountered in practice. To complete the questions below, check with your vendor to determine whether there is a mechanism in the vendor system to see aggregated data prior to NHSN upload. If this does not exist in the vendor software, upload 1 month of AU data into NHSN, </w:t>
      </w:r>
      <w:hyperlink r:id="rId27" w:history="1">
        <w:r w:rsidRPr="006E74DF">
          <w:rPr>
            <w:rStyle w:val="Hyperlink"/>
            <w:color w:val="2A6CA8" w:themeColor="background2" w:themeShade="80"/>
          </w:rPr>
          <w:t>generate data sets</w:t>
        </w:r>
      </w:hyperlink>
      <w:r w:rsidRPr="006C5F37">
        <w:t>, and create a line list by using the “</w:t>
      </w:r>
      <w:hyperlink r:id="rId28" w:history="1">
        <w:r w:rsidRPr="006E74DF">
          <w:rPr>
            <w:rStyle w:val="Hyperlink"/>
            <w:color w:val="2A6CA8" w:themeColor="background2" w:themeShade="80"/>
          </w:rPr>
          <w:t>Line Listing – All Submitted AU Data by Location</w:t>
        </w:r>
      </w:hyperlink>
      <w:r w:rsidRPr="006C5F37">
        <w:t>” report.</w:t>
      </w:r>
    </w:p>
    <w:p w14:paraId="6A78CE1F" w14:textId="77777777" w:rsidR="00A32F81" w:rsidRPr="00DF019C" w:rsidRDefault="00A32F81" w:rsidP="00B70C63">
      <w:pPr>
        <w:pStyle w:val="BulletsCDC"/>
        <w:numPr>
          <w:ilvl w:val="0"/>
          <w:numId w:val="0"/>
        </w:numPr>
        <w:spacing w:after="0" w:line="240" w:lineRule="auto"/>
        <w:ind w:right="0"/>
        <w:rPr>
          <w:rFonts w:eastAsiaTheme="majorEastAsia" w:cstheme="majorBidi"/>
          <w:b/>
          <w:iCs/>
          <w:color w:val="004189" w:themeColor="accent1" w:themeShade="BF"/>
          <w:szCs w:val="22"/>
        </w:rPr>
      </w:pPr>
    </w:p>
    <w:p w14:paraId="4C8A8B01" w14:textId="6588A3D3" w:rsidR="000E0891" w:rsidRDefault="006C5F37" w:rsidP="00B70C63">
      <w:pPr>
        <w:pStyle w:val="BulletsCDC"/>
        <w:numPr>
          <w:ilvl w:val="0"/>
          <w:numId w:val="0"/>
        </w:numPr>
        <w:spacing w:after="0" w:line="240" w:lineRule="auto"/>
        <w:ind w:right="0"/>
        <w:rPr>
          <w:rFonts w:eastAsiaTheme="majorEastAsia" w:cstheme="majorBidi"/>
          <w:b/>
          <w:iCs/>
          <w:color w:val="004189" w:themeColor="accent1" w:themeShade="BF"/>
          <w:sz w:val="26"/>
        </w:rPr>
      </w:pPr>
      <w:r w:rsidRPr="006C5F37">
        <w:rPr>
          <w:rFonts w:eastAsiaTheme="majorEastAsia" w:cstheme="majorBidi"/>
          <w:b/>
          <w:iCs/>
          <w:color w:val="004189" w:themeColor="accent1" w:themeShade="BF"/>
          <w:sz w:val="26"/>
        </w:rPr>
        <w:t xml:space="preserve">Aggregating the routes of administration </w:t>
      </w:r>
      <w:r w:rsidR="00800580">
        <w:rPr>
          <w:rFonts w:eastAsiaTheme="majorEastAsia" w:cstheme="majorBidi"/>
          <w:b/>
          <w:iCs/>
          <w:color w:val="004189" w:themeColor="accent1" w:themeShade="BF"/>
          <w:sz w:val="26"/>
        </w:rPr>
        <w:t>and</w:t>
      </w:r>
      <w:r w:rsidRPr="006C5F37">
        <w:rPr>
          <w:rFonts w:eastAsiaTheme="majorEastAsia" w:cstheme="majorBidi"/>
          <w:b/>
          <w:iCs/>
          <w:color w:val="004189" w:themeColor="accent1" w:themeShade="BF"/>
          <w:sz w:val="26"/>
        </w:rPr>
        <w:t xml:space="preserve"> total antimicrobial days</w:t>
      </w:r>
    </w:p>
    <w:p w14:paraId="05664A6A" w14:textId="77777777" w:rsidR="00A32F81" w:rsidRDefault="00A32F81" w:rsidP="00B70C63">
      <w:pPr>
        <w:pStyle w:val="BulletsCDC"/>
        <w:numPr>
          <w:ilvl w:val="0"/>
          <w:numId w:val="0"/>
        </w:numPr>
        <w:spacing w:after="0" w:line="240" w:lineRule="auto"/>
        <w:ind w:right="0"/>
      </w:pPr>
    </w:p>
    <w:p w14:paraId="35A57485" w14:textId="37885D0B" w:rsidR="006C5F37" w:rsidRDefault="006C5F37" w:rsidP="00B70C63">
      <w:pPr>
        <w:pStyle w:val="BulletsCDC"/>
        <w:numPr>
          <w:ilvl w:val="0"/>
          <w:numId w:val="0"/>
        </w:numPr>
        <w:spacing w:after="0" w:line="240" w:lineRule="auto"/>
        <w:ind w:right="0"/>
      </w:pPr>
      <w:r w:rsidRPr="006C5F37">
        <w:t>This section confirms that the software is correctly counting drugs that can be administered via more than one route. It is important to ensure both the total antimicrobial days and the antimicrobial days by route of administration are counted correctly to ensure appropriate aggregation. First, you will review the data at the patient-level then move to the individual location and FacWideIN levels.</w:t>
      </w:r>
    </w:p>
    <w:p w14:paraId="7BFB9CB9" w14:textId="77777777" w:rsidR="006C5F37" w:rsidRDefault="006C5F37" w:rsidP="00B70C63">
      <w:pPr>
        <w:pStyle w:val="BulletsCDC"/>
        <w:numPr>
          <w:ilvl w:val="0"/>
          <w:numId w:val="0"/>
        </w:numPr>
        <w:spacing w:after="0" w:line="240" w:lineRule="auto"/>
        <w:ind w:right="0"/>
      </w:pPr>
    </w:p>
    <w:p w14:paraId="5277FFEB" w14:textId="77777777" w:rsidR="006C5F37" w:rsidRPr="006C5F37" w:rsidRDefault="006C5F37" w:rsidP="00C12D3A">
      <w:pPr>
        <w:spacing w:before="0" w:after="0" w:line="240" w:lineRule="auto"/>
        <w:rPr>
          <w:rFonts w:eastAsia="Calibri" w:cs="Arial"/>
          <w:color w:val="auto"/>
          <w:kern w:val="0"/>
          <w:szCs w:val="22"/>
          <w14:ligatures w14:val="none"/>
        </w:rPr>
      </w:pPr>
      <w:r w:rsidRPr="006C5F37">
        <w:rPr>
          <w:rFonts w:eastAsia="Calibri" w:cs="Arial"/>
          <w:b/>
          <w:bCs/>
          <w:color w:val="auto"/>
          <w:kern w:val="0"/>
          <w:szCs w:val="22"/>
          <w14:ligatures w14:val="none"/>
        </w:rPr>
        <w:t>Patient-level methodology</w:t>
      </w:r>
      <w:r w:rsidRPr="006C5F37">
        <w:rPr>
          <w:rFonts w:eastAsia="Calibri" w:cs="Arial"/>
          <w:color w:val="auto"/>
          <w:kern w:val="0"/>
          <w:szCs w:val="22"/>
          <w14:ligatures w14:val="none"/>
        </w:rPr>
        <w:t xml:space="preserve">: Choose three commonly used drugs that can be administered via more than one route to confirm both the individual </w:t>
      </w:r>
      <w:proofErr w:type="gramStart"/>
      <w:r w:rsidRPr="006C5F37">
        <w:rPr>
          <w:rFonts w:eastAsia="Calibri" w:cs="Arial"/>
          <w:color w:val="auto"/>
          <w:kern w:val="0"/>
          <w:szCs w:val="22"/>
          <w14:ligatures w14:val="none"/>
        </w:rPr>
        <w:t>routes</w:t>
      </w:r>
      <w:proofErr w:type="gramEnd"/>
      <w:r w:rsidRPr="006C5F37">
        <w:rPr>
          <w:rFonts w:eastAsia="Calibri" w:cs="Arial"/>
          <w:color w:val="auto"/>
          <w:kern w:val="0"/>
          <w:szCs w:val="22"/>
          <w14:ligatures w14:val="none"/>
        </w:rPr>
        <w:t xml:space="preserve"> and the total antimicrobial day counts are correct. Review five patients per drug.</w:t>
      </w:r>
    </w:p>
    <w:p w14:paraId="60A1BF13" w14:textId="77777777" w:rsidR="006C5F37" w:rsidRPr="006C5F37" w:rsidRDefault="006C5F37" w:rsidP="00C12D3A">
      <w:pPr>
        <w:spacing w:before="0" w:after="0" w:line="240" w:lineRule="auto"/>
        <w:rPr>
          <w:rFonts w:eastAsia="Calibri" w:cs="Arial"/>
          <w:color w:val="auto"/>
          <w:kern w:val="0"/>
          <w:szCs w:val="22"/>
          <w14:ligatures w14:val="none"/>
        </w:rPr>
      </w:pPr>
    </w:p>
    <w:p w14:paraId="6AD05176" w14:textId="5D9BBAC2" w:rsidR="00710EB1" w:rsidRDefault="006C5F37" w:rsidP="00C12D3A">
      <w:pPr>
        <w:spacing w:before="0" w:after="0" w:line="240" w:lineRule="auto"/>
        <w:rPr>
          <w:rFonts w:eastAsia="Calibri" w:cs="Arial"/>
          <w:color w:val="auto"/>
          <w:kern w:val="0"/>
          <w:szCs w:val="22"/>
          <w14:ligatures w14:val="none"/>
        </w:rPr>
      </w:pPr>
      <w:r w:rsidRPr="006C5F37">
        <w:rPr>
          <w:rFonts w:eastAsia="Calibri" w:cs="Arial"/>
          <w:color w:val="auto"/>
          <w:kern w:val="0"/>
          <w:szCs w:val="22"/>
          <w14:ligatures w14:val="none"/>
        </w:rPr>
        <w:t xml:space="preserve">Remember, a patient can only attribute one antimicrobial day per specific drug, route, and location, regardless of how many doses of the drug they receive during the calendar day. </w:t>
      </w:r>
    </w:p>
    <w:p w14:paraId="75A03D7C" w14:textId="77777777" w:rsidR="00710EB1" w:rsidRDefault="00710EB1" w:rsidP="00C12D3A">
      <w:pPr>
        <w:spacing w:before="0" w:after="0" w:line="240" w:lineRule="auto"/>
        <w:rPr>
          <w:rFonts w:eastAsia="Calibri" w:cs="Arial"/>
          <w:color w:val="auto"/>
          <w:kern w:val="0"/>
          <w:szCs w:val="22"/>
          <w14:ligatures w14:val="none"/>
        </w:rPr>
      </w:pPr>
    </w:p>
    <w:p w14:paraId="382C1A8A" w14:textId="3F3E8C09" w:rsidR="006C5F37" w:rsidRPr="006C5F37" w:rsidRDefault="00710EB1" w:rsidP="00C12D3A">
      <w:pPr>
        <w:spacing w:before="0" w:after="0" w:line="240" w:lineRule="auto"/>
        <w:rPr>
          <w:rFonts w:eastAsia="Calibri" w:cs="Arial"/>
          <w:color w:val="auto"/>
          <w:kern w:val="0"/>
          <w:szCs w:val="22"/>
          <w14:ligatures w14:val="none"/>
        </w:rPr>
      </w:pPr>
      <w:r w:rsidRPr="00D61984">
        <w:rPr>
          <w:rFonts w:eastAsia="Calibri" w:cs="Arial"/>
          <w:b/>
          <w:bCs/>
          <w:color w:val="auto"/>
          <w:kern w:val="0"/>
          <w:szCs w:val="22"/>
          <w14:ligatures w14:val="none"/>
        </w:rPr>
        <w:t>Example</w:t>
      </w:r>
      <w:r>
        <w:rPr>
          <w:rFonts w:eastAsia="Calibri" w:cs="Arial"/>
          <w:color w:val="auto"/>
          <w:kern w:val="0"/>
          <w:szCs w:val="22"/>
          <w14:ligatures w14:val="none"/>
        </w:rPr>
        <w:t>:</w:t>
      </w:r>
      <w:r w:rsidR="006C5F37" w:rsidRPr="006C5F37">
        <w:rPr>
          <w:rFonts w:eastAsia="Calibri" w:cs="Arial"/>
          <w:color w:val="auto"/>
          <w:kern w:val="0"/>
          <w:szCs w:val="22"/>
          <w14:ligatures w14:val="none"/>
        </w:rPr>
        <w:t xml:space="preserve"> </w:t>
      </w:r>
      <w:r w:rsidR="004342E2">
        <w:rPr>
          <w:rFonts w:eastAsia="Calibri" w:cs="Arial"/>
          <w:color w:val="auto"/>
          <w:kern w:val="0"/>
          <w:szCs w:val="22"/>
          <w14:ligatures w14:val="none"/>
        </w:rPr>
        <w:t>A</w:t>
      </w:r>
      <w:r w:rsidR="006C5F37" w:rsidRPr="006C5F37">
        <w:rPr>
          <w:rFonts w:eastAsia="Calibri" w:cs="Arial"/>
          <w:color w:val="auto"/>
          <w:kern w:val="0"/>
          <w:szCs w:val="22"/>
          <w14:ligatures w14:val="none"/>
        </w:rPr>
        <w:t xml:space="preserve"> patient administered ciprofloxacin intravenously and orally on the same day would be attributed “one ciprofloxacin day (Total)</w:t>
      </w:r>
      <w:r w:rsidR="00324595">
        <w:rPr>
          <w:rFonts w:eastAsia="Calibri" w:cs="Arial"/>
          <w:color w:val="auto"/>
          <w:kern w:val="0"/>
          <w:szCs w:val="22"/>
          <w14:ligatures w14:val="none"/>
        </w:rPr>
        <w:t>.</w:t>
      </w:r>
      <w:r w:rsidR="006C5F37" w:rsidRPr="006C5F37">
        <w:rPr>
          <w:rFonts w:eastAsia="Calibri" w:cs="Arial"/>
          <w:color w:val="auto"/>
          <w:kern w:val="0"/>
          <w:szCs w:val="22"/>
          <w14:ligatures w14:val="none"/>
        </w:rPr>
        <w:t xml:space="preserve">” When broken down by route, this would be recorded as “one ciprofloxacin day (IV)” and “one ciprofloxacin day (Digestive).” In cases like this, the sum of antimicrobial days per route should exceed the total count of antimicrobial days for the drug. See Appendix C in the </w:t>
      </w:r>
      <w:hyperlink r:id="rId29" w:history="1">
        <w:r w:rsidR="00A33864" w:rsidRPr="006E74DF">
          <w:rPr>
            <w:rStyle w:val="Hyperlink"/>
            <w:color w:val="2A6CA8" w:themeColor="background2" w:themeShade="80"/>
          </w:rPr>
          <w:t>AUR Module Protocol</w:t>
        </w:r>
      </w:hyperlink>
      <w:r w:rsidR="006C5F37" w:rsidRPr="006C5F37">
        <w:rPr>
          <w:rFonts w:eastAsia="Calibri" w:cs="Arial"/>
          <w:color w:val="auto"/>
          <w:kern w:val="0"/>
          <w:szCs w:val="22"/>
          <w14:ligatures w14:val="none"/>
        </w:rPr>
        <w:t xml:space="preserve"> for more examples of antimicrobial day calculations. </w:t>
      </w:r>
    </w:p>
    <w:p w14:paraId="0F02E36C" w14:textId="77777777" w:rsidR="006C5F37" w:rsidRPr="006C5F37" w:rsidRDefault="006C5F37" w:rsidP="00C12D3A">
      <w:pPr>
        <w:spacing w:before="0" w:after="0" w:line="240" w:lineRule="auto"/>
        <w:rPr>
          <w:rFonts w:eastAsia="Calibri" w:cs="Arial"/>
          <w:color w:val="auto"/>
          <w:kern w:val="0"/>
          <w:szCs w:val="22"/>
          <w14:ligatures w14:val="none"/>
        </w:rPr>
      </w:pPr>
    </w:p>
    <w:p w14:paraId="7CDB5E0D" w14:textId="77777777" w:rsidR="006C5F37" w:rsidRPr="006C5F37" w:rsidRDefault="006C5F37" w:rsidP="00C12D3A">
      <w:pPr>
        <w:spacing w:before="0" w:after="0" w:line="240" w:lineRule="auto"/>
        <w:rPr>
          <w:rFonts w:eastAsia="Calibri" w:cs="Arial"/>
          <w:color w:val="auto"/>
          <w:kern w:val="0"/>
          <w:szCs w:val="22"/>
          <w14:ligatures w14:val="none"/>
        </w:rPr>
      </w:pPr>
      <w:r w:rsidRPr="006C5F37">
        <w:rPr>
          <w:rFonts w:eastAsia="Calibri" w:cs="Arial"/>
          <w:color w:val="auto"/>
          <w:kern w:val="0"/>
          <w:szCs w:val="22"/>
          <w14:ligatures w14:val="none"/>
        </w:rPr>
        <w:t xml:space="preserve">Consider using the table below, or something similar in the program of your choice, to compare your aggregations. </w:t>
      </w:r>
    </w:p>
    <w:p w14:paraId="06B4254B" w14:textId="77777777" w:rsidR="006C5F37" w:rsidRPr="006C5F37" w:rsidRDefault="006C5F37" w:rsidP="00C12D3A">
      <w:pPr>
        <w:spacing w:before="0" w:after="0" w:line="240" w:lineRule="auto"/>
        <w:rPr>
          <w:rFonts w:eastAsia="Calibri" w:cs="Arial"/>
          <w:color w:val="auto"/>
          <w:kern w:val="0"/>
          <w:szCs w:val="22"/>
          <w14:ligatures w14:val="none"/>
        </w:rPr>
      </w:pPr>
    </w:p>
    <w:p w14:paraId="4807586E" w14:textId="19D2072F" w:rsidR="006C5F37" w:rsidRPr="006C5F37" w:rsidRDefault="006C5F37" w:rsidP="00B70C63">
      <w:pPr>
        <w:numPr>
          <w:ilvl w:val="0"/>
          <w:numId w:val="12"/>
        </w:numPr>
        <w:spacing w:before="0" w:after="0" w:line="240" w:lineRule="auto"/>
        <w:ind w:left="360"/>
        <w:rPr>
          <w:rFonts w:eastAsia="Calibri" w:cs="Arial"/>
          <w:color w:val="auto"/>
          <w:kern w:val="0"/>
          <w:szCs w:val="22"/>
          <w14:ligatures w14:val="none"/>
        </w:rPr>
      </w:pPr>
      <w:r w:rsidRPr="006C5F37">
        <w:rPr>
          <w:rFonts w:eastAsia="Calibri" w:cs="Arial"/>
          <w:b/>
          <w:bCs/>
          <w:color w:val="auto"/>
          <w:kern w:val="0"/>
          <w:szCs w:val="22"/>
          <w14:ligatures w14:val="none"/>
        </w:rPr>
        <w:t>Step 1</w:t>
      </w:r>
      <w:r w:rsidRPr="006C5F37">
        <w:rPr>
          <w:rFonts w:eastAsia="Calibri" w:cs="Arial"/>
          <w:color w:val="auto"/>
          <w:kern w:val="0"/>
          <w:szCs w:val="22"/>
          <w14:ligatures w14:val="none"/>
        </w:rPr>
        <w:t xml:space="preserve">: </w:t>
      </w:r>
      <w:r w:rsidR="00E13C89">
        <w:rPr>
          <w:rFonts w:eastAsia="Calibri" w:cs="Arial"/>
          <w:color w:val="auto"/>
          <w:kern w:val="0"/>
          <w:szCs w:val="22"/>
          <w14:ligatures w14:val="none"/>
        </w:rPr>
        <w:t>C</w:t>
      </w:r>
      <w:r w:rsidRPr="006C5F37">
        <w:rPr>
          <w:rFonts w:eastAsia="Calibri" w:cs="Arial"/>
          <w:color w:val="auto"/>
          <w:kern w:val="0"/>
          <w:szCs w:val="22"/>
          <w14:ligatures w14:val="none"/>
        </w:rPr>
        <w:t xml:space="preserve">onsult with your vendor to determine if there is a mechanism to view patient-level data before it is aggregated for NHSN upload. If not, contact your institution’s IT or other representative to obtain a line list from your eMAR or BCMA of your data prior to vendor aggregation. </w:t>
      </w:r>
    </w:p>
    <w:p w14:paraId="5CD857EA" w14:textId="77777777" w:rsidR="006C5F37" w:rsidRPr="006C5F37" w:rsidRDefault="006C5F37" w:rsidP="00B70C63">
      <w:pPr>
        <w:numPr>
          <w:ilvl w:val="0"/>
          <w:numId w:val="12"/>
        </w:numPr>
        <w:spacing w:before="0" w:after="0" w:line="240" w:lineRule="auto"/>
        <w:ind w:left="360"/>
        <w:rPr>
          <w:rFonts w:eastAsia="Calibri" w:cs="Arial"/>
          <w:color w:val="auto"/>
          <w:kern w:val="0"/>
          <w:szCs w:val="22"/>
          <w14:ligatures w14:val="none"/>
        </w:rPr>
      </w:pPr>
      <w:r w:rsidRPr="006C5F37">
        <w:rPr>
          <w:rFonts w:eastAsia="Calibri" w:cs="Arial"/>
          <w:b/>
          <w:bCs/>
          <w:color w:val="auto"/>
          <w:kern w:val="0"/>
          <w:szCs w:val="22"/>
          <w14:ligatures w14:val="none"/>
        </w:rPr>
        <w:t>Step 2</w:t>
      </w:r>
      <w:r w:rsidRPr="006C5F37">
        <w:rPr>
          <w:rFonts w:eastAsia="Calibri" w:cs="Arial"/>
          <w:color w:val="auto"/>
          <w:kern w:val="0"/>
          <w:szCs w:val="22"/>
          <w14:ligatures w14:val="none"/>
        </w:rPr>
        <w:t>: For each drug, manually review the records for five patients and calculate the total antimicrobial days for each route of administration.</w:t>
      </w:r>
    </w:p>
    <w:p w14:paraId="72B191AF" w14:textId="2EC1032F" w:rsidR="006C5F37" w:rsidRDefault="006C5F37" w:rsidP="00B70C63">
      <w:pPr>
        <w:numPr>
          <w:ilvl w:val="0"/>
          <w:numId w:val="12"/>
        </w:numPr>
        <w:spacing w:before="0" w:after="0" w:line="240" w:lineRule="auto"/>
        <w:ind w:left="360"/>
        <w:rPr>
          <w:rFonts w:eastAsia="Calibri" w:cs="Arial"/>
          <w:color w:val="auto"/>
          <w:kern w:val="0"/>
          <w:szCs w:val="22"/>
          <w14:ligatures w14:val="none"/>
        </w:rPr>
      </w:pPr>
      <w:r w:rsidRPr="006C5F37">
        <w:rPr>
          <w:rFonts w:eastAsia="Calibri" w:cs="Arial"/>
          <w:b/>
          <w:bCs/>
          <w:color w:val="auto"/>
          <w:kern w:val="0"/>
          <w:szCs w:val="22"/>
          <w14:ligatures w14:val="none"/>
        </w:rPr>
        <w:t>Step 3</w:t>
      </w:r>
      <w:r w:rsidRPr="006C5F37">
        <w:rPr>
          <w:rFonts w:eastAsia="Calibri" w:cs="Arial"/>
          <w:color w:val="auto"/>
          <w:kern w:val="0"/>
          <w:szCs w:val="22"/>
          <w14:ligatures w14:val="none"/>
        </w:rPr>
        <w:t xml:space="preserve">: Compare the manually aggregated patient-level data with your </w:t>
      </w:r>
      <w:r w:rsidR="003A0999">
        <w:rPr>
          <w:rFonts w:eastAsia="Calibri" w:cs="Arial"/>
          <w:color w:val="auto"/>
          <w:kern w:val="0"/>
          <w:szCs w:val="22"/>
          <w14:ligatures w14:val="none"/>
        </w:rPr>
        <w:t>l</w:t>
      </w:r>
      <w:r w:rsidRPr="006C5F37">
        <w:rPr>
          <w:rFonts w:eastAsia="Calibri" w:cs="Arial"/>
          <w:color w:val="auto"/>
          <w:kern w:val="0"/>
          <w:szCs w:val="22"/>
          <w14:ligatures w14:val="none"/>
        </w:rPr>
        <w:t xml:space="preserve">ine </w:t>
      </w:r>
      <w:r w:rsidR="003A0999">
        <w:rPr>
          <w:rFonts w:eastAsia="Calibri" w:cs="Arial"/>
          <w:color w:val="auto"/>
          <w:kern w:val="0"/>
          <w:szCs w:val="22"/>
          <w14:ligatures w14:val="none"/>
        </w:rPr>
        <w:t>l</w:t>
      </w:r>
      <w:r w:rsidRPr="006C5F37">
        <w:rPr>
          <w:rFonts w:eastAsia="Calibri" w:cs="Arial"/>
          <w:color w:val="auto"/>
          <w:kern w:val="0"/>
          <w:szCs w:val="22"/>
          <w14:ligatures w14:val="none"/>
        </w:rPr>
        <w:t xml:space="preserve">isting generated in NHSN to identify any inconsistencies. </w:t>
      </w:r>
    </w:p>
    <w:p w14:paraId="3A84B990" w14:textId="77777777" w:rsidR="00A32F81" w:rsidRPr="006C5F37" w:rsidRDefault="00A32F81" w:rsidP="00C12D3A">
      <w:pPr>
        <w:spacing w:before="0" w:after="0" w:line="240" w:lineRule="auto"/>
        <w:rPr>
          <w:rFonts w:eastAsia="Calibri" w:cs="Arial"/>
          <w:color w:val="auto"/>
          <w:kern w:val="0"/>
          <w:szCs w:val="22"/>
          <w14:ligatures w14:val="none"/>
        </w:rPr>
      </w:pPr>
    </w:p>
    <w:tbl>
      <w:tblPr>
        <w:tblStyle w:val="TableGrid"/>
        <w:tblW w:w="6660" w:type="dxa"/>
        <w:jc w:val="center"/>
        <w:tblLook w:val="04A0" w:firstRow="1" w:lastRow="0" w:firstColumn="1" w:lastColumn="0" w:noHBand="0" w:noVBand="1"/>
      </w:tblPr>
      <w:tblGrid>
        <w:gridCol w:w="951"/>
        <w:gridCol w:w="951"/>
        <w:gridCol w:w="952"/>
        <w:gridCol w:w="951"/>
        <w:gridCol w:w="952"/>
        <w:gridCol w:w="951"/>
        <w:gridCol w:w="952"/>
      </w:tblGrid>
      <w:tr w:rsidR="00A32F81" w:rsidRPr="00A32F81" w14:paraId="6F76E5C4" w14:textId="77777777" w:rsidTr="00A32F81">
        <w:trPr>
          <w:jc w:val="center"/>
        </w:trPr>
        <w:tc>
          <w:tcPr>
            <w:tcW w:w="1902" w:type="dxa"/>
            <w:gridSpan w:val="2"/>
          </w:tcPr>
          <w:p w14:paraId="0A1B4D73" w14:textId="77777777" w:rsidR="00A32F81" w:rsidRPr="00A32F81" w:rsidRDefault="00A32F81" w:rsidP="00C12D3A">
            <w:pPr>
              <w:pStyle w:val="NoSpacing"/>
              <w:rPr>
                <w:rFonts w:ascii="Arial" w:hAnsi="Arial" w:cs="Arial"/>
              </w:rPr>
            </w:pPr>
          </w:p>
        </w:tc>
        <w:tc>
          <w:tcPr>
            <w:tcW w:w="4758" w:type="dxa"/>
            <w:gridSpan w:val="5"/>
          </w:tcPr>
          <w:p w14:paraId="5476DFDC" w14:textId="77777777" w:rsidR="00A32F81" w:rsidRPr="00A32F81" w:rsidRDefault="00A32F81" w:rsidP="00C12D3A">
            <w:pPr>
              <w:pStyle w:val="NoSpacing"/>
              <w:rPr>
                <w:rFonts w:ascii="Arial" w:hAnsi="Arial" w:cs="Arial"/>
              </w:rPr>
            </w:pPr>
            <w:r w:rsidRPr="00A32F81">
              <w:rPr>
                <w:rFonts w:ascii="Arial" w:hAnsi="Arial" w:cs="Arial"/>
                <w:b/>
              </w:rPr>
              <w:t>Manual Aggregation of Antimicrobial Days</w:t>
            </w:r>
          </w:p>
        </w:tc>
      </w:tr>
      <w:tr w:rsidR="00A32F81" w:rsidRPr="00A32F81" w14:paraId="7743DB78" w14:textId="77777777" w:rsidTr="00A32F81">
        <w:trPr>
          <w:jc w:val="center"/>
        </w:trPr>
        <w:tc>
          <w:tcPr>
            <w:tcW w:w="951" w:type="dxa"/>
          </w:tcPr>
          <w:p w14:paraId="3F599128" w14:textId="77777777" w:rsidR="00A32F81" w:rsidRPr="00A32F81" w:rsidRDefault="00A32F81" w:rsidP="00C12D3A">
            <w:pPr>
              <w:pStyle w:val="NoSpacing"/>
              <w:rPr>
                <w:rFonts w:ascii="Arial" w:hAnsi="Arial" w:cs="Arial"/>
                <w:b/>
                <w:bCs/>
              </w:rPr>
            </w:pPr>
            <w:r w:rsidRPr="00A32F81">
              <w:rPr>
                <w:rFonts w:ascii="Arial" w:hAnsi="Arial" w:cs="Arial"/>
                <w:b/>
                <w:bCs/>
              </w:rPr>
              <w:t>Drug 1</w:t>
            </w:r>
          </w:p>
        </w:tc>
        <w:tc>
          <w:tcPr>
            <w:tcW w:w="951" w:type="dxa"/>
          </w:tcPr>
          <w:p w14:paraId="6A22763C" w14:textId="77777777" w:rsidR="00A32F81" w:rsidRPr="00A32F81" w:rsidRDefault="00A32F81" w:rsidP="00C12D3A">
            <w:pPr>
              <w:pStyle w:val="NoSpacing"/>
              <w:rPr>
                <w:rFonts w:ascii="Arial" w:hAnsi="Arial" w:cs="Arial"/>
                <w:b/>
                <w:bCs/>
              </w:rPr>
            </w:pPr>
            <w:r w:rsidRPr="00A32F81">
              <w:rPr>
                <w:rFonts w:ascii="Arial" w:hAnsi="Arial" w:cs="Arial"/>
                <w:b/>
                <w:bCs/>
              </w:rPr>
              <w:t xml:space="preserve">Patient </w:t>
            </w:r>
          </w:p>
        </w:tc>
        <w:tc>
          <w:tcPr>
            <w:tcW w:w="952" w:type="dxa"/>
          </w:tcPr>
          <w:p w14:paraId="471EB94F" w14:textId="77777777" w:rsidR="00A32F81" w:rsidRPr="00A32F81" w:rsidRDefault="00A32F81" w:rsidP="00C12D3A">
            <w:pPr>
              <w:pStyle w:val="NoSpacing"/>
              <w:rPr>
                <w:rFonts w:ascii="Arial" w:hAnsi="Arial" w:cs="Arial"/>
              </w:rPr>
            </w:pPr>
            <w:r w:rsidRPr="00A32F81">
              <w:rPr>
                <w:rFonts w:ascii="Arial" w:hAnsi="Arial" w:cs="Arial"/>
                <w:b/>
                <w:bCs/>
              </w:rPr>
              <w:t>Total</w:t>
            </w:r>
          </w:p>
        </w:tc>
        <w:tc>
          <w:tcPr>
            <w:tcW w:w="951" w:type="dxa"/>
          </w:tcPr>
          <w:p w14:paraId="00B7D98E" w14:textId="77777777" w:rsidR="00A32F81" w:rsidRPr="00A32F81" w:rsidRDefault="00A32F81" w:rsidP="00C12D3A">
            <w:pPr>
              <w:pStyle w:val="NoSpacing"/>
              <w:rPr>
                <w:rFonts w:ascii="Arial" w:hAnsi="Arial" w:cs="Arial"/>
              </w:rPr>
            </w:pPr>
            <w:r w:rsidRPr="00A32F81">
              <w:rPr>
                <w:rFonts w:ascii="Arial" w:hAnsi="Arial" w:cs="Arial"/>
                <w:b/>
                <w:bCs/>
              </w:rPr>
              <w:t>IV</w:t>
            </w:r>
          </w:p>
        </w:tc>
        <w:tc>
          <w:tcPr>
            <w:tcW w:w="952" w:type="dxa"/>
          </w:tcPr>
          <w:p w14:paraId="2821C580" w14:textId="77777777" w:rsidR="00A32F81" w:rsidRPr="00A32F81" w:rsidRDefault="00A32F81" w:rsidP="00C12D3A">
            <w:pPr>
              <w:pStyle w:val="NoSpacing"/>
              <w:rPr>
                <w:rFonts w:ascii="Arial" w:hAnsi="Arial" w:cs="Arial"/>
              </w:rPr>
            </w:pPr>
            <w:r w:rsidRPr="00A32F81">
              <w:rPr>
                <w:rFonts w:ascii="Arial" w:hAnsi="Arial" w:cs="Arial"/>
                <w:b/>
                <w:bCs/>
              </w:rPr>
              <w:t>IM</w:t>
            </w:r>
          </w:p>
        </w:tc>
        <w:tc>
          <w:tcPr>
            <w:tcW w:w="951" w:type="dxa"/>
          </w:tcPr>
          <w:p w14:paraId="32A279B9" w14:textId="77777777" w:rsidR="00A32F81" w:rsidRPr="00A32F81" w:rsidRDefault="00A32F81" w:rsidP="00C12D3A">
            <w:pPr>
              <w:pStyle w:val="NoSpacing"/>
              <w:rPr>
                <w:rFonts w:ascii="Arial" w:hAnsi="Arial" w:cs="Arial"/>
              </w:rPr>
            </w:pPr>
            <w:r w:rsidRPr="00A32F81">
              <w:rPr>
                <w:rFonts w:ascii="Arial" w:hAnsi="Arial" w:cs="Arial"/>
                <w:b/>
                <w:bCs/>
              </w:rPr>
              <w:t>Digest</w:t>
            </w:r>
          </w:p>
        </w:tc>
        <w:tc>
          <w:tcPr>
            <w:tcW w:w="952" w:type="dxa"/>
          </w:tcPr>
          <w:p w14:paraId="1E24725B" w14:textId="77777777" w:rsidR="00A32F81" w:rsidRPr="00A32F81" w:rsidRDefault="00A32F81" w:rsidP="00C12D3A">
            <w:pPr>
              <w:pStyle w:val="NoSpacing"/>
              <w:rPr>
                <w:rFonts w:ascii="Arial" w:hAnsi="Arial" w:cs="Arial"/>
              </w:rPr>
            </w:pPr>
            <w:r w:rsidRPr="00A32F81">
              <w:rPr>
                <w:rFonts w:ascii="Arial" w:hAnsi="Arial" w:cs="Arial"/>
                <w:b/>
                <w:bCs/>
              </w:rPr>
              <w:t>Resp</w:t>
            </w:r>
          </w:p>
        </w:tc>
      </w:tr>
      <w:tr w:rsidR="00A32F81" w:rsidRPr="00A32F81" w14:paraId="454EDF11" w14:textId="77777777" w:rsidTr="00A32F81">
        <w:trPr>
          <w:jc w:val="center"/>
        </w:trPr>
        <w:tc>
          <w:tcPr>
            <w:tcW w:w="951" w:type="dxa"/>
          </w:tcPr>
          <w:p w14:paraId="01477AF4" w14:textId="77777777" w:rsidR="00A32F81" w:rsidRPr="00A32F81" w:rsidRDefault="00A32F81" w:rsidP="00C12D3A">
            <w:pPr>
              <w:pStyle w:val="NoSpacing"/>
              <w:rPr>
                <w:rFonts w:ascii="Arial" w:hAnsi="Arial" w:cs="Arial"/>
              </w:rPr>
            </w:pPr>
          </w:p>
        </w:tc>
        <w:tc>
          <w:tcPr>
            <w:tcW w:w="951" w:type="dxa"/>
          </w:tcPr>
          <w:p w14:paraId="2E44912C" w14:textId="77777777" w:rsidR="00A32F81" w:rsidRPr="00A32F81" w:rsidRDefault="00A32F81" w:rsidP="00C12D3A">
            <w:pPr>
              <w:pStyle w:val="NoSpacing"/>
              <w:jc w:val="center"/>
              <w:rPr>
                <w:rFonts w:ascii="Arial" w:hAnsi="Arial" w:cs="Arial"/>
              </w:rPr>
            </w:pPr>
            <w:r w:rsidRPr="00A32F81">
              <w:rPr>
                <w:rFonts w:ascii="Arial" w:hAnsi="Arial" w:cs="Arial"/>
              </w:rPr>
              <w:t>1</w:t>
            </w:r>
          </w:p>
        </w:tc>
        <w:tc>
          <w:tcPr>
            <w:tcW w:w="952" w:type="dxa"/>
          </w:tcPr>
          <w:p w14:paraId="1782171C" w14:textId="77777777" w:rsidR="00A32F81" w:rsidRPr="00A32F81" w:rsidRDefault="00A32F81" w:rsidP="00C12D3A">
            <w:pPr>
              <w:pStyle w:val="NoSpacing"/>
              <w:rPr>
                <w:rFonts w:ascii="Arial" w:hAnsi="Arial" w:cs="Arial"/>
              </w:rPr>
            </w:pPr>
          </w:p>
        </w:tc>
        <w:tc>
          <w:tcPr>
            <w:tcW w:w="951" w:type="dxa"/>
          </w:tcPr>
          <w:p w14:paraId="74BD4F25" w14:textId="77777777" w:rsidR="00A32F81" w:rsidRPr="00A32F81" w:rsidRDefault="00A32F81" w:rsidP="00C12D3A">
            <w:pPr>
              <w:pStyle w:val="NoSpacing"/>
              <w:rPr>
                <w:rFonts w:ascii="Arial" w:hAnsi="Arial" w:cs="Arial"/>
              </w:rPr>
            </w:pPr>
          </w:p>
        </w:tc>
        <w:tc>
          <w:tcPr>
            <w:tcW w:w="952" w:type="dxa"/>
          </w:tcPr>
          <w:p w14:paraId="1D9228F4" w14:textId="77777777" w:rsidR="00A32F81" w:rsidRPr="00A32F81" w:rsidRDefault="00A32F81" w:rsidP="00C12D3A">
            <w:pPr>
              <w:pStyle w:val="NoSpacing"/>
              <w:rPr>
                <w:rFonts w:ascii="Arial" w:hAnsi="Arial" w:cs="Arial"/>
              </w:rPr>
            </w:pPr>
          </w:p>
        </w:tc>
        <w:tc>
          <w:tcPr>
            <w:tcW w:w="951" w:type="dxa"/>
          </w:tcPr>
          <w:p w14:paraId="0B39E718" w14:textId="77777777" w:rsidR="00A32F81" w:rsidRPr="00A32F81" w:rsidRDefault="00A32F81" w:rsidP="00C12D3A">
            <w:pPr>
              <w:pStyle w:val="NoSpacing"/>
              <w:rPr>
                <w:rFonts w:ascii="Arial" w:hAnsi="Arial" w:cs="Arial"/>
              </w:rPr>
            </w:pPr>
          </w:p>
        </w:tc>
        <w:tc>
          <w:tcPr>
            <w:tcW w:w="952" w:type="dxa"/>
          </w:tcPr>
          <w:p w14:paraId="47633E03" w14:textId="77777777" w:rsidR="00A32F81" w:rsidRPr="00A32F81" w:rsidRDefault="00A32F81" w:rsidP="00C12D3A">
            <w:pPr>
              <w:pStyle w:val="NoSpacing"/>
              <w:rPr>
                <w:rFonts w:ascii="Arial" w:hAnsi="Arial" w:cs="Arial"/>
              </w:rPr>
            </w:pPr>
          </w:p>
        </w:tc>
      </w:tr>
      <w:tr w:rsidR="00A32F81" w:rsidRPr="00A32F81" w14:paraId="6083EA42" w14:textId="77777777" w:rsidTr="00A32F81">
        <w:trPr>
          <w:jc w:val="center"/>
        </w:trPr>
        <w:tc>
          <w:tcPr>
            <w:tcW w:w="951" w:type="dxa"/>
          </w:tcPr>
          <w:p w14:paraId="7DD0712E" w14:textId="77777777" w:rsidR="00A32F81" w:rsidRPr="00A32F81" w:rsidRDefault="00A32F81" w:rsidP="00C12D3A">
            <w:pPr>
              <w:pStyle w:val="NoSpacing"/>
              <w:rPr>
                <w:rFonts w:ascii="Arial" w:hAnsi="Arial" w:cs="Arial"/>
              </w:rPr>
            </w:pPr>
          </w:p>
        </w:tc>
        <w:tc>
          <w:tcPr>
            <w:tcW w:w="951" w:type="dxa"/>
          </w:tcPr>
          <w:p w14:paraId="4092E207" w14:textId="77777777" w:rsidR="00A32F81" w:rsidRPr="00A32F81" w:rsidRDefault="00A32F81" w:rsidP="00C12D3A">
            <w:pPr>
              <w:pStyle w:val="NoSpacing"/>
              <w:jc w:val="center"/>
              <w:rPr>
                <w:rFonts w:ascii="Arial" w:hAnsi="Arial" w:cs="Arial"/>
              </w:rPr>
            </w:pPr>
            <w:r w:rsidRPr="00A32F81">
              <w:rPr>
                <w:rFonts w:ascii="Arial" w:hAnsi="Arial" w:cs="Arial"/>
              </w:rPr>
              <w:t>2</w:t>
            </w:r>
          </w:p>
        </w:tc>
        <w:tc>
          <w:tcPr>
            <w:tcW w:w="952" w:type="dxa"/>
          </w:tcPr>
          <w:p w14:paraId="5DF60B2C" w14:textId="77777777" w:rsidR="00A32F81" w:rsidRPr="00A32F81" w:rsidRDefault="00A32F81" w:rsidP="00C12D3A">
            <w:pPr>
              <w:pStyle w:val="NoSpacing"/>
              <w:rPr>
                <w:rFonts w:ascii="Arial" w:hAnsi="Arial" w:cs="Arial"/>
              </w:rPr>
            </w:pPr>
          </w:p>
        </w:tc>
        <w:tc>
          <w:tcPr>
            <w:tcW w:w="951" w:type="dxa"/>
          </w:tcPr>
          <w:p w14:paraId="43176EA7" w14:textId="77777777" w:rsidR="00A32F81" w:rsidRPr="00A32F81" w:rsidRDefault="00A32F81" w:rsidP="00C12D3A">
            <w:pPr>
              <w:pStyle w:val="NoSpacing"/>
              <w:rPr>
                <w:rFonts w:ascii="Arial" w:hAnsi="Arial" w:cs="Arial"/>
              </w:rPr>
            </w:pPr>
          </w:p>
        </w:tc>
        <w:tc>
          <w:tcPr>
            <w:tcW w:w="952" w:type="dxa"/>
          </w:tcPr>
          <w:p w14:paraId="74FCC412" w14:textId="77777777" w:rsidR="00A32F81" w:rsidRPr="00A32F81" w:rsidRDefault="00A32F81" w:rsidP="00C12D3A">
            <w:pPr>
              <w:pStyle w:val="NoSpacing"/>
              <w:rPr>
                <w:rFonts w:ascii="Arial" w:hAnsi="Arial" w:cs="Arial"/>
              </w:rPr>
            </w:pPr>
          </w:p>
        </w:tc>
        <w:tc>
          <w:tcPr>
            <w:tcW w:w="951" w:type="dxa"/>
          </w:tcPr>
          <w:p w14:paraId="1FFAEAB7" w14:textId="77777777" w:rsidR="00A32F81" w:rsidRPr="00A32F81" w:rsidRDefault="00A32F81" w:rsidP="00C12D3A">
            <w:pPr>
              <w:pStyle w:val="NoSpacing"/>
              <w:rPr>
                <w:rFonts w:ascii="Arial" w:hAnsi="Arial" w:cs="Arial"/>
              </w:rPr>
            </w:pPr>
          </w:p>
        </w:tc>
        <w:tc>
          <w:tcPr>
            <w:tcW w:w="952" w:type="dxa"/>
          </w:tcPr>
          <w:p w14:paraId="780B31D7" w14:textId="77777777" w:rsidR="00A32F81" w:rsidRPr="00A32F81" w:rsidRDefault="00A32F81" w:rsidP="00C12D3A">
            <w:pPr>
              <w:pStyle w:val="NoSpacing"/>
              <w:rPr>
                <w:rFonts w:ascii="Arial" w:hAnsi="Arial" w:cs="Arial"/>
              </w:rPr>
            </w:pPr>
          </w:p>
        </w:tc>
      </w:tr>
      <w:tr w:rsidR="00A32F81" w:rsidRPr="00A32F81" w14:paraId="186979D5" w14:textId="77777777" w:rsidTr="00A32F81">
        <w:trPr>
          <w:jc w:val="center"/>
        </w:trPr>
        <w:tc>
          <w:tcPr>
            <w:tcW w:w="951" w:type="dxa"/>
          </w:tcPr>
          <w:p w14:paraId="3FBEC835" w14:textId="77777777" w:rsidR="00A32F81" w:rsidRPr="00A32F81" w:rsidRDefault="00A32F81" w:rsidP="00C12D3A">
            <w:pPr>
              <w:pStyle w:val="NoSpacing"/>
              <w:rPr>
                <w:rFonts w:ascii="Arial" w:hAnsi="Arial" w:cs="Arial"/>
              </w:rPr>
            </w:pPr>
          </w:p>
        </w:tc>
        <w:tc>
          <w:tcPr>
            <w:tcW w:w="951" w:type="dxa"/>
          </w:tcPr>
          <w:p w14:paraId="1513781E" w14:textId="77777777" w:rsidR="00A32F81" w:rsidRPr="00A32F81" w:rsidRDefault="00A32F81" w:rsidP="00C12D3A">
            <w:pPr>
              <w:pStyle w:val="NoSpacing"/>
              <w:jc w:val="center"/>
              <w:rPr>
                <w:rFonts w:ascii="Arial" w:hAnsi="Arial" w:cs="Arial"/>
              </w:rPr>
            </w:pPr>
            <w:r w:rsidRPr="00A32F81">
              <w:rPr>
                <w:rFonts w:ascii="Arial" w:hAnsi="Arial" w:cs="Arial"/>
              </w:rPr>
              <w:t>3</w:t>
            </w:r>
          </w:p>
        </w:tc>
        <w:tc>
          <w:tcPr>
            <w:tcW w:w="952" w:type="dxa"/>
          </w:tcPr>
          <w:p w14:paraId="26F3C8BA" w14:textId="77777777" w:rsidR="00A32F81" w:rsidRPr="00A32F81" w:rsidRDefault="00A32F81" w:rsidP="00C12D3A">
            <w:pPr>
              <w:pStyle w:val="NoSpacing"/>
              <w:rPr>
                <w:rFonts w:ascii="Arial" w:hAnsi="Arial" w:cs="Arial"/>
              </w:rPr>
            </w:pPr>
          </w:p>
        </w:tc>
        <w:tc>
          <w:tcPr>
            <w:tcW w:w="951" w:type="dxa"/>
          </w:tcPr>
          <w:p w14:paraId="71685964" w14:textId="77777777" w:rsidR="00A32F81" w:rsidRPr="00A32F81" w:rsidRDefault="00A32F81" w:rsidP="00C12D3A">
            <w:pPr>
              <w:pStyle w:val="NoSpacing"/>
              <w:rPr>
                <w:rFonts w:ascii="Arial" w:hAnsi="Arial" w:cs="Arial"/>
              </w:rPr>
            </w:pPr>
          </w:p>
        </w:tc>
        <w:tc>
          <w:tcPr>
            <w:tcW w:w="952" w:type="dxa"/>
          </w:tcPr>
          <w:p w14:paraId="4B3A38A7" w14:textId="77777777" w:rsidR="00A32F81" w:rsidRPr="00A32F81" w:rsidRDefault="00A32F81" w:rsidP="00C12D3A">
            <w:pPr>
              <w:pStyle w:val="NoSpacing"/>
              <w:rPr>
                <w:rFonts w:ascii="Arial" w:hAnsi="Arial" w:cs="Arial"/>
              </w:rPr>
            </w:pPr>
          </w:p>
        </w:tc>
        <w:tc>
          <w:tcPr>
            <w:tcW w:w="951" w:type="dxa"/>
          </w:tcPr>
          <w:p w14:paraId="139C4B18" w14:textId="77777777" w:rsidR="00A32F81" w:rsidRPr="00A32F81" w:rsidRDefault="00A32F81" w:rsidP="00C12D3A">
            <w:pPr>
              <w:pStyle w:val="NoSpacing"/>
              <w:rPr>
                <w:rFonts w:ascii="Arial" w:hAnsi="Arial" w:cs="Arial"/>
              </w:rPr>
            </w:pPr>
          </w:p>
        </w:tc>
        <w:tc>
          <w:tcPr>
            <w:tcW w:w="952" w:type="dxa"/>
          </w:tcPr>
          <w:p w14:paraId="6DF984D3" w14:textId="77777777" w:rsidR="00A32F81" w:rsidRPr="00A32F81" w:rsidRDefault="00A32F81" w:rsidP="00C12D3A">
            <w:pPr>
              <w:pStyle w:val="NoSpacing"/>
              <w:rPr>
                <w:rFonts w:ascii="Arial" w:hAnsi="Arial" w:cs="Arial"/>
              </w:rPr>
            </w:pPr>
          </w:p>
        </w:tc>
      </w:tr>
      <w:tr w:rsidR="00A32F81" w:rsidRPr="00A32F81" w14:paraId="7157C49A" w14:textId="77777777" w:rsidTr="00A32F81">
        <w:trPr>
          <w:jc w:val="center"/>
        </w:trPr>
        <w:tc>
          <w:tcPr>
            <w:tcW w:w="951" w:type="dxa"/>
          </w:tcPr>
          <w:p w14:paraId="21739881" w14:textId="77777777" w:rsidR="00A32F81" w:rsidRPr="00A32F81" w:rsidRDefault="00A32F81" w:rsidP="00C12D3A">
            <w:pPr>
              <w:pStyle w:val="NoSpacing"/>
              <w:rPr>
                <w:rFonts w:ascii="Arial" w:hAnsi="Arial" w:cs="Arial"/>
              </w:rPr>
            </w:pPr>
          </w:p>
        </w:tc>
        <w:tc>
          <w:tcPr>
            <w:tcW w:w="951" w:type="dxa"/>
          </w:tcPr>
          <w:p w14:paraId="6AAE4236" w14:textId="77777777" w:rsidR="00A32F81" w:rsidRPr="00A32F81" w:rsidRDefault="00A32F81" w:rsidP="00C12D3A">
            <w:pPr>
              <w:pStyle w:val="NoSpacing"/>
              <w:jc w:val="center"/>
              <w:rPr>
                <w:rFonts w:ascii="Arial" w:hAnsi="Arial" w:cs="Arial"/>
              </w:rPr>
            </w:pPr>
            <w:r w:rsidRPr="00A32F81">
              <w:rPr>
                <w:rFonts w:ascii="Arial" w:hAnsi="Arial" w:cs="Arial"/>
              </w:rPr>
              <w:t>4</w:t>
            </w:r>
          </w:p>
        </w:tc>
        <w:tc>
          <w:tcPr>
            <w:tcW w:w="952" w:type="dxa"/>
          </w:tcPr>
          <w:p w14:paraId="3A2EF80B" w14:textId="77777777" w:rsidR="00A32F81" w:rsidRPr="00A32F81" w:rsidRDefault="00A32F81" w:rsidP="00C12D3A">
            <w:pPr>
              <w:pStyle w:val="NoSpacing"/>
              <w:rPr>
                <w:rFonts w:ascii="Arial" w:hAnsi="Arial" w:cs="Arial"/>
              </w:rPr>
            </w:pPr>
          </w:p>
        </w:tc>
        <w:tc>
          <w:tcPr>
            <w:tcW w:w="951" w:type="dxa"/>
          </w:tcPr>
          <w:p w14:paraId="36EEA373" w14:textId="77777777" w:rsidR="00A32F81" w:rsidRPr="00A32F81" w:rsidRDefault="00A32F81" w:rsidP="00C12D3A">
            <w:pPr>
              <w:pStyle w:val="NoSpacing"/>
              <w:rPr>
                <w:rFonts w:ascii="Arial" w:hAnsi="Arial" w:cs="Arial"/>
              </w:rPr>
            </w:pPr>
          </w:p>
        </w:tc>
        <w:tc>
          <w:tcPr>
            <w:tcW w:w="952" w:type="dxa"/>
          </w:tcPr>
          <w:p w14:paraId="7C014A5D" w14:textId="77777777" w:rsidR="00A32F81" w:rsidRPr="00A32F81" w:rsidRDefault="00A32F81" w:rsidP="00C12D3A">
            <w:pPr>
              <w:pStyle w:val="NoSpacing"/>
              <w:rPr>
                <w:rFonts w:ascii="Arial" w:hAnsi="Arial" w:cs="Arial"/>
              </w:rPr>
            </w:pPr>
          </w:p>
        </w:tc>
        <w:tc>
          <w:tcPr>
            <w:tcW w:w="951" w:type="dxa"/>
          </w:tcPr>
          <w:p w14:paraId="588EDEF3" w14:textId="77777777" w:rsidR="00A32F81" w:rsidRPr="00A32F81" w:rsidRDefault="00A32F81" w:rsidP="00C12D3A">
            <w:pPr>
              <w:pStyle w:val="NoSpacing"/>
              <w:rPr>
                <w:rFonts w:ascii="Arial" w:hAnsi="Arial" w:cs="Arial"/>
              </w:rPr>
            </w:pPr>
          </w:p>
        </w:tc>
        <w:tc>
          <w:tcPr>
            <w:tcW w:w="952" w:type="dxa"/>
          </w:tcPr>
          <w:p w14:paraId="7C0BF235" w14:textId="77777777" w:rsidR="00A32F81" w:rsidRPr="00A32F81" w:rsidRDefault="00A32F81" w:rsidP="00C12D3A">
            <w:pPr>
              <w:pStyle w:val="NoSpacing"/>
              <w:rPr>
                <w:rFonts w:ascii="Arial" w:hAnsi="Arial" w:cs="Arial"/>
              </w:rPr>
            </w:pPr>
          </w:p>
        </w:tc>
      </w:tr>
      <w:tr w:rsidR="00A32F81" w:rsidRPr="00A32F81" w14:paraId="5BF622DF" w14:textId="77777777" w:rsidTr="00A32F81">
        <w:trPr>
          <w:jc w:val="center"/>
        </w:trPr>
        <w:tc>
          <w:tcPr>
            <w:tcW w:w="951" w:type="dxa"/>
          </w:tcPr>
          <w:p w14:paraId="4F1E30C5" w14:textId="77777777" w:rsidR="00A32F81" w:rsidRPr="00A32F81" w:rsidRDefault="00A32F81" w:rsidP="00C12D3A">
            <w:pPr>
              <w:pStyle w:val="NoSpacing"/>
              <w:rPr>
                <w:rFonts w:ascii="Arial" w:hAnsi="Arial" w:cs="Arial"/>
              </w:rPr>
            </w:pPr>
          </w:p>
        </w:tc>
        <w:tc>
          <w:tcPr>
            <w:tcW w:w="951" w:type="dxa"/>
          </w:tcPr>
          <w:p w14:paraId="5441D3E6" w14:textId="77777777" w:rsidR="00A32F81" w:rsidRPr="00A32F81" w:rsidRDefault="00A32F81" w:rsidP="00C12D3A">
            <w:pPr>
              <w:pStyle w:val="NoSpacing"/>
              <w:jc w:val="center"/>
              <w:rPr>
                <w:rFonts w:ascii="Arial" w:hAnsi="Arial" w:cs="Arial"/>
              </w:rPr>
            </w:pPr>
            <w:r w:rsidRPr="00A32F81">
              <w:rPr>
                <w:rFonts w:ascii="Arial" w:hAnsi="Arial" w:cs="Arial"/>
              </w:rPr>
              <w:t>5</w:t>
            </w:r>
          </w:p>
        </w:tc>
        <w:tc>
          <w:tcPr>
            <w:tcW w:w="952" w:type="dxa"/>
          </w:tcPr>
          <w:p w14:paraId="7C6B12B1" w14:textId="77777777" w:rsidR="00A32F81" w:rsidRPr="00A32F81" w:rsidRDefault="00A32F81" w:rsidP="00C12D3A">
            <w:pPr>
              <w:pStyle w:val="NoSpacing"/>
              <w:rPr>
                <w:rFonts w:ascii="Arial" w:hAnsi="Arial" w:cs="Arial"/>
              </w:rPr>
            </w:pPr>
          </w:p>
        </w:tc>
        <w:tc>
          <w:tcPr>
            <w:tcW w:w="951" w:type="dxa"/>
          </w:tcPr>
          <w:p w14:paraId="32B8FEF9" w14:textId="77777777" w:rsidR="00A32F81" w:rsidRPr="00A32F81" w:rsidRDefault="00A32F81" w:rsidP="00C12D3A">
            <w:pPr>
              <w:pStyle w:val="NoSpacing"/>
              <w:rPr>
                <w:rFonts w:ascii="Arial" w:hAnsi="Arial" w:cs="Arial"/>
              </w:rPr>
            </w:pPr>
          </w:p>
        </w:tc>
        <w:tc>
          <w:tcPr>
            <w:tcW w:w="952" w:type="dxa"/>
          </w:tcPr>
          <w:p w14:paraId="7E1A54DE" w14:textId="77777777" w:rsidR="00A32F81" w:rsidRPr="00A32F81" w:rsidRDefault="00A32F81" w:rsidP="00C12D3A">
            <w:pPr>
              <w:pStyle w:val="NoSpacing"/>
              <w:rPr>
                <w:rFonts w:ascii="Arial" w:hAnsi="Arial" w:cs="Arial"/>
              </w:rPr>
            </w:pPr>
          </w:p>
        </w:tc>
        <w:tc>
          <w:tcPr>
            <w:tcW w:w="951" w:type="dxa"/>
          </w:tcPr>
          <w:p w14:paraId="5336D49D" w14:textId="77777777" w:rsidR="00A32F81" w:rsidRPr="00A32F81" w:rsidRDefault="00A32F81" w:rsidP="00C12D3A">
            <w:pPr>
              <w:pStyle w:val="NoSpacing"/>
              <w:rPr>
                <w:rFonts w:ascii="Arial" w:hAnsi="Arial" w:cs="Arial"/>
              </w:rPr>
            </w:pPr>
          </w:p>
        </w:tc>
        <w:tc>
          <w:tcPr>
            <w:tcW w:w="952" w:type="dxa"/>
          </w:tcPr>
          <w:p w14:paraId="7987708F" w14:textId="77777777" w:rsidR="00A32F81" w:rsidRPr="00A32F81" w:rsidRDefault="00A32F81" w:rsidP="00C12D3A">
            <w:pPr>
              <w:pStyle w:val="NoSpacing"/>
              <w:rPr>
                <w:rFonts w:ascii="Arial" w:hAnsi="Arial" w:cs="Arial"/>
              </w:rPr>
            </w:pPr>
          </w:p>
        </w:tc>
      </w:tr>
      <w:tr w:rsidR="00A32F81" w:rsidRPr="00A32F81" w14:paraId="227F3C0F" w14:textId="77777777" w:rsidTr="00A32F81">
        <w:trPr>
          <w:jc w:val="center"/>
        </w:trPr>
        <w:tc>
          <w:tcPr>
            <w:tcW w:w="1902" w:type="dxa"/>
            <w:gridSpan w:val="2"/>
          </w:tcPr>
          <w:p w14:paraId="4670DA87" w14:textId="7D05FE61" w:rsidR="00A32F81" w:rsidRPr="00A32F81" w:rsidRDefault="00A32F81" w:rsidP="00C12D3A">
            <w:pPr>
              <w:pStyle w:val="NoSpacing"/>
              <w:jc w:val="center"/>
              <w:rPr>
                <w:rFonts w:ascii="Arial" w:hAnsi="Arial" w:cs="Arial"/>
              </w:rPr>
            </w:pPr>
            <w:r w:rsidRPr="00A32F81">
              <w:rPr>
                <w:rFonts w:ascii="Arial" w:hAnsi="Arial" w:cs="Arial"/>
                <w:b/>
                <w:bCs/>
              </w:rPr>
              <w:t>TOTAL</w:t>
            </w:r>
          </w:p>
        </w:tc>
        <w:tc>
          <w:tcPr>
            <w:tcW w:w="952" w:type="dxa"/>
          </w:tcPr>
          <w:p w14:paraId="727C5198" w14:textId="77777777" w:rsidR="00A32F81" w:rsidRPr="00A32F81" w:rsidRDefault="00A32F81" w:rsidP="00C12D3A">
            <w:pPr>
              <w:pStyle w:val="NoSpacing"/>
              <w:rPr>
                <w:rFonts w:ascii="Arial" w:hAnsi="Arial" w:cs="Arial"/>
              </w:rPr>
            </w:pPr>
          </w:p>
        </w:tc>
        <w:tc>
          <w:tcPr>
            <w:tcW w:w="951" w:type="dxa"/>
          </w:tcPr>
          <w:p w14:paraId="26532B48" w14:textId="77777777" w:rsidR="00A32F81" w:rsidRPr="00A32F81" w:rsidRDefault="00A32F81" w:rsidP="00C12D3A">
            <w:pPr>
              <w:pStyle w:val="NoSpacing"/>
              <w:rPr>
                <w:rFonts w:ascii="Arial" w:hAnsi="Arial" w:cs="Arial"/>
              </w:rPr>
            </w:pPr>
          </w:p>
        </w:tc>
        <w:tc>
          <w:tcPr>
            <w:tcW w:w="952" w:type="dxa"/>
          </w:tcPr>
          <w:p w14:paraId="5FB034C2" w14:textId="77777777" w:rsidR="00A32F81" w:rsidRPr="00A32F81" w:rsidRDefault="00A32F81" w:rsidP="00C12D3A">
            <w:pPr>
              <w:pStyle w:val="NoSpacing"/>
              <w:rPr>
                <w:rFonts w:ascii="Arial" w:hAnsi="Arial" w:cs="Arial"/>
              </w:rPr>
            </w:pPr>
          </w:p>
        </w:tc>
        <w:tc>
          <w:tcPr>
            <w:tcW w:w="951" w:type="dxa"/>
          </w:tcPr>
          <w:p w14:paraId="05E4DAE2" w14:textId="77777777" w:rsidR="00A32F81" w:rsidRPr="00A32F81" w:rsidRDefault="00A32F81" w:rsidP="00C12D3A">
            <w:pPr>
              <w:pStyle w:val="NoSpacing"/>
              <w:rPr>
                <w:rFonts w:ascii="Arial" w:hAnsi="Arial" w:cs="Arial"/>
              </w:rPr>
            </w:pPr>
          </w:p>
        </w:tc>
        <w:tc>
          <w:tcPr>
            <w:tcW w:w="952" w:type="dxa"/>
          </w:tcPr>
          <w:p w14:paraId="37ADD2DD" w14:textId="77777777" w:rsidR="00A32F81" w:rsidRPr="00A32F81" w:rsidRDefault="00A32F81" w:rsidP="00C12D3A">
            <w:pPr>
              <w:pStyle w:val="NoSpacing"/>
              <w:rPr>
                <w:rFonts w:ascii="Arial" w:hAnsi="Arial" w:cs="Arial"/>
              </w:rPr>
            </w:pPr>
          </w:p>
        </w:tc>
      </w:tr>
    </w:tbl>
    <w:p w14:paraId="615FD85D" w14:textId="77777777" w:rsidR="00A32F81" w:rsidRPr="00A32F81" w:rsidRDefault="00A32F81" w:rsidP="00C12D3A">
      <w:pPr>
        <w:numPr>
          <w:ilvl w:val="0"/>
          <w:numId w:val="13"/>
        </w:numPr>
        <w:spacing w:before="0" w:after="0" w:line="240" w:lineRule="auto"/>
        <w:rPr>
          <w:rFonts w:eastAsia="Calibri" w:cs="Arial"/>
          <w:color w:val="auto"/>
          <w:kern w:val="0"/>
          <w:szCs w:val="22"/>
          <w14:ligatures w14:val="none"/>
        </w:rPr>
      </w:pPr>
      <w:r w:rsidRPr="00A32F81">
        <w:rPr>
          <w:rFonts w:eastAsia="Calibri" w:cs="Arial"/>
          <w:color w:val="auto"/>
          <w:kern w:val="0"/>
          <w:szCs w:val="22"/>
          <w14:ligatures w14:val="none"/>
        </w:rPr>
        <w:lastRenderedPageBreak/>
        <w:t xml:space="preserve">For patients receiving the same antimicrobial by two different routes of administration in the same calendar day (for example, patient switched from IV to oral antimicrobial formulation), confirm that the administrations were counted appropriately: one total antimicrobial day and one antimicrobial day for each of the specified routes. </w:t>
      </w:r>
    </w:p>
    <w:p w14:paraId="34FC5C13" w14:textId="77777777" w:rsidR="00A32F81" w:rsidRPr="00A32F81" w:rsidRDefault="00A32F81" w:rsidP="00C12D3A">
      <w:pPr>
        <w:spacing w:before="0" w:after="0" w:line="240" w:lineRule="auto"/>
        <w:ind w:left="720"/>
        <w:rPr>
          <w:rFonts w:eastAsia="Calibri" w:cs="Arial"/>
          <w:color w:val="auto"/>
          <w:kern w:val="0"/>
          <w:szCs w:val="22"/>
          <w14:ligatures w14:val="none"/>
        </w:rPr>
      </w:pPr>
    </w:p>
    <w:p w14:paraId="50651B25" w14:textId="77777777" w:rsidR="00A32F81" w:rsidRPr="00A32F81" w:rsidRDefault="00A32F81" w:rsidP="00C12D3A">
      <w:pPr>
        <w:numPr>
          <w:ilvl w:val="0"/>
          <w:numId w:val="13"/>
        </w:numPr>
        <w:spacing w:before="0" w:after="0" w:line="240" w:lineRule="auto"/>
        <w:rPr>
          <w:rFonts w:eastAsia="Calibri" w:cs="Arial"/>
          <w:color w:val="auto"/>
          <w:kern w:val="0"/>
          <w:szCs w:val="22"/>
          <w14:ligatures w14:val="none"/>
        </w:rPr>
      </w:pPr>
      <w:r w:rsidRPr="00A32F81">
        <w:rPr>
          <w:rFonts w:eastAsia="Calibri" w:cs="Arial"/>
          <w:color w:val="auto"/>
          <w:kern w:val="0"/>
          <w:szCs w:val="22"/>
          <w14:ligatures w14:val="none"/>
        </w:rPr>
        <w:t xml:space="preserve">On the days of admission, transfer or discharge, confirm antimicrobial days (if administered an antimicrobial agent) were attributed to that patient care location even though the patient was only there for a partial day. </w:t>
      </w:r>
    </w:p>
    <w:p w14:paraId="51CF36E7" w14:textId="77777777" w:rsidR="00A32F81" w:rsidRPr="00A32F81" w:rsidRDefault="00A32F81" w:rsidP="00C12D3A">
      <w:pPr>
        <w:keepNext/>
        <w:keepLines/>
        <w:spacing w:before="0" w:after="0" w:line="240" w:lineRule="auto"/>
        <w:ind w:left="720"/>
        <w:outlineLvl w:val="3"/>
        <w:rPr>
          <w:rFonts w:eastAsia="MS Gothic" w:cs="Arial"/>
          <w:b/>
          <w:iCs/>
          <w:color w:val="365F91"/>
          <w:kern w:val="0"/>
          <w:szCs w:val="22"/>
          <w14:ligatures w14:val="none"/>
        </w:rPr>
      </w:pPr>
    </w:p>
    <w:p w14:paraId="157A1B4E" w14:textId="77777777" w:rsidR="00A32F81" w:rsidRPr="00A32F81" w:rsidRDefault="00A32F81" w:rsidP="00C12D3A">
      <w:pPr>
        <w:tabs>
          <w:tab w:val="left" w:pos="180"/>
        </w:tabs>
        <w:spacing w:before="0" w:after="0" w:line="240" w:lineRule="auto"/>
        <w:rPr>
          <w:rFonts w:eastAsia="Calibri" w:cs="Arial"/>
          <w:color w:val="auto"/>
          <w:kern w:val="0"/>
          <w:szCs w:val="22"/>
          <w14:ligatures w14:val="none"/>
        </w:rPr>
      </w:pPr>
      <w:r w:rsidRPr="00A32F81">
        <w:rPr>
          <w:rFonts w:eastAsia="Calibri" w:cs="Arial"/>
          <w:b/>
          <w:bCs/>
          <w:color w:val="auto"/>
          <w:kern w:val="0"/>
          <w:szCs w:val="22"/>
          <w14:ligatures w14:val="none"/>
        </w:rPr>
        <w:t>Individual Location-level methodology</w:t>
      </w:r>
      <w:r w:rsidRPr="00A32F81">
        <w:rPr>
          <w:rFonts w:eastAsia="Calibri" w:cs="Arial"/>
          <w:color w:val="auto"/>
          <w:kern w:val="0"/>
          <w:szCs w:val="22"/>
          <w14:ligatures w14:val="none"/>
        </w:rPr>
        <w:t xml:space="preserve">: Choose three patient care locations during the specified </w:t>
      </w:r>
      <w:proofErr w:type="gramStart"/>
      <w:r w:rsidRPr="00A32F81">
        <w:rPr>
          <w:rFonts w:eastAsia="Calibri" w:cs="Arial"/>
          <w:color w:val="auto"/>
          <w:kern w:val="0"/>
          <w:szCs w:val="22"/>
          <w14:ligatures w14:val="none"/>
        </w:rPr>
        <w:t>time period</w:t>
      </w:r>
      <w:proofErr w:type="gramEnd"/>
      <w:r w:rsidRPr="00A32F81">
        <w:rPr>
          <w:rFonts w:eastAsia="Calibri" w:cs="Arial"/>
          <w:color w:val="auto"/>
          <w:kern w:val="0"/>
          <w:szCs w:val="22"/>
          <w14:ligatures w14:val="none"/>
        </w:rPr>
        <w:t>. Continue using the commonly used drugs that can be administered via more than one route to confirm the aggregations for both the individual routes and the total antimicrobial days.</w:t>
      </w:r>
    </w:p>
    <w:p w14:paraId="08763B95" w14:textId="77777777" w:rsidR="00A32F81" w:rsidRPr="00A32F81" w:rsidRDefault="00A32F81" w:rsidP="00C12D3A">
      <w:pPr>
        <w:spacing w:before="0" w:after="0" w:line="240" w:lineRule="auto"/>
        <w:ind w:left="720"/>
        <w:rPr>
          <w:rFonts w:eastAsia="Calibri" w:cs="Arial"/>
          <w:color w:val="auto"/>
          <w:kern w:val="0"/>
          <w:szCs w:val="22"/>
          <w14:ligatures w14:val="none"/>
        </w:rPr>
      </w:pPr>
    </w:p>
    <w:p w14:paraId="3AD8781B" w14:textId="77777777" w:rsidR="00A32F81" w:rsidRPr="00A32F81" w:rsidRDefault="00A32F81" w:rsidP="00C12D3A">
      <w:pPr>
        <w:spacing w:before="0" w:after="0" w:line="240" w:lineRule="auto"/>
        <w:rPr>
          <w:rFonts w:eastAsia="Calibri" w:cs="Arial"/>
          <w:color w:val="auto"/>
          <w:kern w:val="0"/>
          <w:szCs w:val="22"/>
          <w14:ligatures w14:val="none"/>
        </w:rPr>
      </w:pPr>
      <w:r w:rsidRPr="00A32F81">
        <w:rPr>
          <w:rFonts w:eastAsia="Calibri" w:cs="Arial"/>
          <w:color w:val="auto"/>
          <w:kern w:val="0"/>
          <w:szCs w:val="22"/>
          <w14:ligatures w14:val="none"/>
        </w:rPr>
        <w:t xml:space="preserve">Consider using the table below, or something similar in the program of your choice, to compare your aggregations. </w:t>
      </w:r>
    </w:p>
    <w:p w14:paraId="013CF44F" w14:textId="77777777" w:rsidR="006C5F37" w:rsidRPr="00A32F81" w:rsidRDefault="006C5F37" w:rsidP="00B70C63">
      <w:pPr>
        <w:pStyle w:val="BulletsCDC"/>
        <w:numPr>
          <w:ilvl w:val="0"/>
          <w:numId w:val="0"/>
        </w:numPr>
        <w:spacing w:after="0" w:line="240" w:lineRule="auto"/>
        <w:ind w:right="0"/>
        <w:rPr>
          <w:rFonts w:cs="Arial"/>
          <w:szCs w:val="22"/>
        </w:rPr>
      </w:pPr>
    </w:p>
    <w:p w14:paraId="2D456C94" w14:textId="77777777" w:rsidR="00A32F81" w:rsidRPr="00A32F81" w:rsidRDefault="00A32F81" w:rsidP="00C12D3A">
      <w:pPr>
        <w:pStyle w:val="NoSpacing"/>
        <w:rPr>
          <w:rFonts w:ascii="Arial" w:hAnsi="Arial" w:cs="Arial"/>
          <w:b/>
        </w:rPr>
      </w:pPr>
      <w:r w:rsidRPr="00A32F81">
        <w:rPr>
          <w:rFonts w:ascii="Arial" w:hAnsi="Arial" w:cs="Arial"/>
          <w:b/>
        </w:rPr>
        <w:t>Month, Year</w:t>
      </w:r>
      <w:r w:rsidRPr="000B0909">
        <w:rPr>
          <w:rFonts w:ascii="Arial" w:hAnsi="Arial" w:cs="Arial"/>
          <w:bCs/>
        </w:rPr>
        <w:t>:</w:t>
      </w:r>
    </w:p>
    <w:p w14:paraId="5B6344CD" w14:textId="77777777" w:rsidR="00A32F81" w:rsidRPr="00A32F81" w:rsidRDefault="00A32F81" w:rsidP="00C12D3A">
      <w:pPr>
        <w:pStyle w:val="NoSpacing"/>
        <w:rPr>
          <w:rFonts w:ascii="Arial" w:hAnsi="Arial" w:cs="Arial"/>
          <w:b/>
        </w:rPr>
      </w:pPr>
      <w:r w:rsidRPr="00A32F81">
        <w:rPr>
          <w:rFonts w:ascii="Arial" w:hAnsi="Arial" w:cs="Arial"/>
          <w:b/>
        </w:rPr>
        <w:t>Location</w:t>
      </w:r>
      <w:r w:rsidRPr="000B0909">
        <w:rPr>
          <w:rFonts w:ascii="Arial" w:hAnsi="Arial" w:cs="Arial"/>
          <w:bCs/>
        </w:rPr>
        <w:t>:</w:t>
      </w:r>
    </w:p>
    <w:tbl>
      <w:tblPr>
        <w:tblStyle w:val="TableGrid"/>
        <w:tblW w:w="9990" w:type="dxa"/>
        <w:jc w:val="center"/>
        <w:tblLayout w:type="fixed"/>
        <w:tblLook w:val="04A0" w:firstRow="1" w:lastRow="0" w:firstColumn="1" w:lastColumn="0" w:noHBand="0" w:noVBand="1"/>
      </w:tblPr>
      <w:tblGrid>
        <w:gridCol w:w="908"/>
        <w:gridCol w:w="908"/>
        <w:gridCol w:w="908"/>
        <w:gridCol w:w="908"/>
        <w:gridCol w:w="908"/>
        <w:gridCol w:w="909"/>
        <w:gridCol w:w="908"/>
        <w:gridCol w:w="908"/>
        <w:gridCol w:w="908"/>
        <w:gridCol w:w="908"/>
        <w:gridCol w:w="909"/>
      </w:tblGrid>
      <w:tr w:rsidR="00FE4634" w:rsidRPr="00A32F81" w14:paraId="6BFD5E1B" w14:textId="77777777" w:rsidTr="00CD43EB">
        <w:trPr>
          <w:jc w:val="center"/>
        </w:trPr>
        <w:tc>
          <w:tcPr>
            <w:tcW w:w="908" w:type="dxa"/>
          </w:tcPr>
          <w:p w14:paraId="66849CDF" w14:textId="77777777" w:rsidR="00FE4634" w:rsidRPr="00A32F81" w:rsidRDefault="00FE4634" w:rsidP="00C12D3A">
            <w:pPr>
              <w:pStyle w:val="NoSpacing"/>
              <w:rPr>
                <w:rFonts w:ascii="Arial" w:hAnsi="Arial" w:cs="Arial"/>
                <w:b/>
                <w:bCs/>
              </w:rPr>
            </w:pPr>
          </w:p>
        </w:tc>
        <w:tc>
          <w:tcPr>
            <w:tcW w:w="4541" w:type="dxa"/>
            <w:gridSpan w:val="5"/>
          </w:tcPr>
          <w:p w14:paraId="327F7A0E" w14:textId="55B3153E" w:rsidR="00FE4634" w:rsidRPr="00A32F81" w:rsidRDefault="00FE4634" w:rsidP="00C12D3A">
            <w:pPr>
              <w:pStyle w:val="NoSpacing"/>
              <w:rPr>
                <w:rFonts w:ascii="Arial" w:hAnsi="Arial" w:cs="Arial"/>
                <w:b/>
                <w:bCs/>
              </w:rPr>
            </w:pPr>
            <w:r w:rsidRPr="00A32F81">
              <w:rPr>
                <w:rFonts w:ascii="Arial" w:hAnsi="Arial" w:cs="Arial"/>
                <w:b/>
              </w:rPr>
              <w:t>Manual Aggregation of Antimicrobial Days</w:t>
            </w:r>
          </w:p>
        </w:tc>
        <w:tc>
          <w:tcPr>
            <w:tcW w:w="4541" w:type="dxa"/>
            <w:gridSpan w:val="5"/>
          </w:tcPr>
          <w:p w14:paraId="7054458E" w14:textId="6825C43C" w:rsidR="00FE4634" w:rsidRPr="00A32F81" w:rsidRDefault="00FE4634" w:rsidP="00C12D3A">
            <w:pPr>
              <w:pStyle w:val="NoSpacing"/>
              <w:rPr>
                <w:rFonts w:ascii="Arial" w:hAnsi="Arial" w:cs="Arial"/>
                <w:b/>
                <w:bCs/>
              </w:rPr>
            </w:pPr>
            <w:r w:rsidRPr="00A32F81">
              <w:rPr>
                <w:rFonts w:ascii="Arial" w:hAnsi="Arial" w:cs="Arial"/>
                <w:b/>
              </w:rPr>
              <w:t>Vendor Software Aggregation of Antimicrobial Days*</w:t>
            </w:r>
          </w:p>
        </w:tc>
      </w:tr>
      <w:tr w:rsidR="00A32F81" w:rsidRPr="00A32F81" w14:paraId="5ABC7F4D" w14:textId="77777777" w:rsidTr="0066695F">
        <w:trPr>
          <w:jc w:val="center"/>
        </w:trPr>
        <w:tc>
          <w:tcPr>
            <w:tcW w:w="908" w:type="dxa"/>
          </w:tcPr>
          <w:p w14:paraId="32A58E01" w14:textId="77777777" w:rsidR="00A32F81" w:rsidRPr="00A32F81" w:rsidRDefault="00A32F81" w:rsidP="00C12D3A">
            <w:pPr>
              <w:pStyle w:val="NoSpacing"/>
              <w:rPr>
                <w:rFonts w:ascii="Arial" w:hAnsi="Arial" w:cs="Arial"/>
                <w:b/>
                <w:bCs/>
              </w:rPr>
            </w:pPr>
            <w:r w:rsidRPr="00A32F81">
              <w:rPr>
                <w:rFonts w:ascii="Arial" w:hAnsi="Arial" w:cs="Arial"/>
                <w:b/>
                <w:bCs/>
              </w:rPr>
              <w:t>Drug</w:t>
            </w:r>
          </w:p>
        </w:tc>
        <w:tc>
          <w:tcPr>
            <w:tcW w:w="908" w:type="dxa"/>
          </w:tcPr>
          <w:p w14:paraId="144594DB" w14:textId="77777777" w:rsidR="00A32F81" w:rsidRPr="00A32F81" w:rsidRDefault="00A32F81" w:rsidP="00C12D3A">
            <w:pPr>
              <w:pStyle w:val="NoSpacing"/>
              <w:rPr>
                <w:rFonts w:ascii="Arial" w:hAnsi="Arial" w:cs="Arial"/>
                <w:b/>
                <w:bCs/>
              </w:rPr>
            </w:pPr>
            <w:r w:rsidRPr="00A32F81">
              <w:rPr>
                <w:rFonts w:ascii="Arial" w:hAnsi="Arial" w:cs="Arial"/>
                <w:b/>
                <w:bCs/>
              </w:rPr>
              <w:t>Total</w:t>
            </w:r>
          </w:p>
        </w:tc>
        <w:tc>
          <w:tcPr>
            <w:tcW w:w="908" w:type="dxa"/>
          </w:tcPr>
          <w:p w14:paraId="4C6C5CE4" w14:textId="77777777" w:rsidR="00A32F81" w:rsidRPr="00A32F81" w:rsidRDefault="00A32F81" w:rsidP="00C12D3A">
            <w:pPr>
              <w:pStyle w:val="NoSpacing"/>
              <w:rPr>
                <w:rFonts w:ascii="Arial" w:hAnsi="Arial" w:cs="Arial"/>
                <w:b/>
                <w:bCs/>
              </w:rPr>
            </w:pPr>
            <w:r w:rsidRPr="00A32F81">
              <w:rPr>
                <w:rFonts w:ascii="Arial" w:hAnsi="Arial" w:cs="Arial"/>
                <w:b/>
                <w:bCs/>
              </w:rPr>
              <w:t>IV</w:t>
            </w:r>
          </w:p>
        </w:tc>
        <w:tc>
          <w:tcPr>
            <w:tcW w:w="908" w:type="dxa"/>
          </w:tcPr>
          <w:p w14:paraId="74346DAB" w14:textId="77777777" w:rsidR="00A32F81" w:rsidRPr="00A32F81" w:rsidRDefault="00A32F81" w:rsidP="00C12D3A">
            <w:pPr>
              <w:pStyle w:val="NoSpacing"/>
              <w:rPr>
                <w:rFonts w:ascii="Arial" w:hAnsi="Arial" w:cs="Arial"/>
                <w:b/>
                <w:bCs/>
              </w:rPr>
            </w:pPr>
            <w:r w:rsidRPr="00A32F81">
              <w:rPr>
                <w:rFonts w:ascii="Arial" w:hAnsi="Arial" w:cs="Arial"/>
                <w:b/>
                <w:bCs/>
              </w:rPr>
              <w:t>IM</w:t>
            </w:r>
          </w:p>
        </w:tc>
        <w:tc>
          <w:tcPr>
            <w:tcW w:w="908" w:type="dxa"/>
          </w:tcPr>
          <w:p w14:paraId="1A6026F8" w14:textId="77777777" w:rsidR="00A32F81" w:rsidRPr="00A32F81" w:rsidRDefault="00A32F81" w:rsidP="00C12D3A">
            <w:pPr>
              <w:pStyle w:val="NoSpacing"/>
              <w:rPr>
                <w:rFonts w:ascii="Arial" w:hAnsi="Arial" w:cs="Arial"/>
                <w:b/>
                <w:bCs/>
              </w:rPr>
            </w:pPr>
            <w:r w:rsidRPr="00A32F81">
              <w:rPr>
                <w:rFonts w:ascii="Arial" w:hAnsi="Arial" w:cs="Arial"/>
                <w:b/>
                <w:bCs/>
              </w:rPr>
              <w:t>Digest</w:t>
            </w:r>
          </w:p>
        </w:tc>
        <w:tc>
          <w:tcPr>
            <w:tcW w:w="909" w:type="dxa"/>
          </w:tcPr>
          <w:p w14:paraId="75C3B6A8" w14:textId="77777777" w:rsidR="00A32F81" w:rsidRPr="00A32F81" w:rsidRDefault="00A32F81" w:rsidP="00C12D3A">
            <w:pPr>
              <w:pStyle w:val="NoSpacing"/>
              <w:rPr>
                <w:rFonts w:ascii="Arial" w:hAnsi="Arial" w:cs="Arial"/>
                <w:b/>
                <w:bCs/>
              </w:rPr>
            </w:pPr>
            <w:r w:rsidRPr="00A32F81">
              <w:rPr>
                <w:rFonts w:ascii="Arial" w:hAnsi="Arial" w:cs="Arial"/>
                <w:b/>
                <w:bCs/>
              </w:rPr>
              <w:t>Resp</w:t>
            </w:r>
          </w:p>
        </w:tc>
        <w:tc>
          <w:tcPr>
            <w:tcW w:w="908" w:type="dxa"/>
          </w:tcPr>
          <w:p w14:paraId="70433E91" w14:textId="77777777" w:rsidR="00A32F81" w:rsidRPr="00A32F81" w:rsidRDefault="00A32F81" w:rsidP="00C12D3A">
            <w:pPr>
              <w:pStyle w:val="NoSpacing"/>
              <w:rPr>
                <w:rFonts w:ascii="Arial" w:hAnsi="Arial" w:cs="Arial"/>
                <w:b/>
                <w:bCs/>
              </w:rPr>
            </w:pPr>
            <w:r w:rsidRPr="00A32F81">
              <w:rPr>
                <w:rFonts w:ascii="Arial" w:hAnsi="Arial" w:cs="Arial"/>
                <w:b/>
                <w:bCs/>
              </w:rPr>
              <w:t>Total</w:t>
            </w:r>
          </w:p>
        </w:tc>
        <w:tc>
          <w:tcPr>
            <w:tcW w:w="908" w:type="dxa"/>
          </w:tcPr>
          <w:p w14:paraId="5EC44479" w14:textId="77777777" w:rsidR="00A32F81" w:rsidRPr="00A32F81" w:rsidRDefault="00A32F81" w:rsidP="00C12D3A">
            <w:pPr>
              <w:pStyle w:val="NoSpacing"/>
              <w:rPr>
                <w:rFonts w:ascii="Arial" w:hAnsi="Arial" w:cs="Arial"/>
                <w:b/>
                <w:bCs/>
              </w:rPr>
            </w:pPr>
            <w:r w:rsidRPr="00A32F81">
              <w:rPr>
                <w:rFonts w:ascii="Arial" w:hAnsi="Arial" w:cs="Arial"/>
                <w:b/>
                <w:bCs/>
              </w:rPr>
              <w:t>IV</w:t>
            </w:r>
          </w:p>
        </w:tc>
        <w:tc>
          <w:tcPr>
            <w:tcW w:w="908" w:type="dxa"/>
          </w:tcPr>
          <w:p w14:paraId="2A83C347" w14:textId="77777777" w:rsidR="00A32F81" w:rsidRPr="00A32F81" w:rsidRDefault="00A32F81" w:rsidP="00C12D3A">
            <w:pPr>
              <w:pStyle w:val="NoSpacing"/>
              <w:rPr>
                <w:rFonts w:ascii="Arial" w:hAnsi="Arial" w:cs="Arial"/>
                <w:b/>
                <w:bCs/>
              </w:rPr>
            </w:pPr>
            <w:r w:rsidRPr="00A32F81">
              <w:rPr>
                <w:rFonts w:ascii="Arial" w:hAnsi="Arial" w:cs="Arial"/>
                <w:b/>
                <w:bCs/>
              </w:rPr>
              <w:t>IM</w:t>
            </w:r>
          </w:p>
        </w:tc>
        <w:tc>
          <w:tcPr>
            <w:tcW w:w="908" w:type="dxa"/>
          </w:tcPr>
          <w:p w14:paraId="1BE75529" w14:textId="77777777" w:rsidR="00A32F81" w:rsidRPr="00A32F81" w:rsidRDefault="00A32F81" w:rsidP="00C12D3A">
            <w:pPr>
              <w:pStyle w:val="NoSpacing"/>
              <w:rPr>
                <w:rFonts w:ascii="Arial" w:hAnsi="Arial" w:cs="Arial"/>
                <w:b/>
                <w:bCs/>
              </w:rPr>
            </w:pPr>
            <w:r w:rsidRPr="00A32F81">
              <w:rPr>
                <w:rFonts w:ascii="Arial" w:hAnsi="Arial" w:cs="Arial"/>
                <w:b/>
                <w:bCs/>
              </w:rPr>
              <w:t>Digest</w:t>
            </w:r>
          </w:p>
        </w:tc>
        <w:tc>
          <w:tcPr>
            <w:tcW w:w="909" w:type="dxa"/>
          </w:tcPr>
          <w:p w14:paraId="14BABB9F" w14:textId="77777777" w:rsidR="00A32F81" w:rsidRPr="00A32F81" w:rsidRDefault="00A32F81" w:rsidP="00C12D3A">
            <w:pPr>
              <w:pStyle w:val="NoSpacing"/>
              <w:rPr>
                <w:rFonts w:ascii="Arial" w:hAnsi="Arial" w:cs="Arial"/>
                <w:b/>
                <w:bCs/>
              </w:rPr>
            </w:pPr>
            <w:r w:rsidRPr="00A32F81">
              <w:rPr>
                <w:rFonts w:ascii="Arial" w:hAnsi="Arial" w:cs="Arial"/>
                <w:b/>
                <w:bCs/>
              </w:rPr>
              <w:t>Resp</w:t>
            </w:r>
          </w:p>
        </w:tc>
      </w:tr>
      <w:tr w:rsidR="00A32F81" w:rsidRPr="00A32F81" w14:paraId="60A543C8" w14:textId="77777777" w:rsidTr="0066695F">
        <w:trPr>
          <w:jc w:val="center"/>
        </w:trPr>
        <w:tc>
          <w:tcPr>
            <w:tcW w:w="908" w:type="dxa"/>
          </w:tcPr>
          <w:p w14:paraId="0C6CA430" w14:textId="77777777" w:rsidR="00A32F81" w:rsidRPr="00A32F81" w:rsidRDefault="00A32F81" w:rsidP="00C12D3A">
            <w:pPr>
              <w:pStyle w:val="NoSpacing"/>
              <w:rPr>
                <w:rFonts w:ascii="Arial" w:hAnsi="Arial" w:cs="Arial"/>
              </w:rPr>
            </w:pPr>
          </w:p>
        </w:tc>
        <w:tc>
          <w:tcPr>
            <w:tcW w:w="908" w:type="dxa"/>
          </w:tcPr>
          <w:p w14:paraId="3EE3788A" w14:textId="77777777" w:rsidR="00A32F81" w:rsidRPr="00A32F81" w:rsidRDefault="00A32F81" w:rsidP="00C12D3A">
            <w:pPr>
              <w:pStyle w:val="NoSpacing"/>
              <w:rPr>
                <w:rFonts w:ascii="Arial" w:hAnsi="Arial" w:cs="Arial"/>
              </w:rPr>
            </w:pPr>
          </w:p>
        </w:tc>
        <w:tc>
          <w:tcPr>
            <w:tcW w:w="908" w:type="dxa"/>
          </w:tcPr>
          <w:p w14:paraId="37941B54" w14:textId="77777777" w:rsidR="00A32F81" w:rsidRPr="00A32F81" w:rsidRDefault="00A32F81" w:rsidP="00C12D3A">
            <w:pPr>
              <w:pStyle w:val="NoSpacing"/>
              <w:rPr>
                <w:rFonts w:ascii="Arial" w:hAnsi="Arial" w:cs="Arial"/>
              </w:rPr>
            </w:pPr>
          </w:p>
        </w:tc>
        <w:tc>
          <w:tcPr>
            <w:tcW w:w="908" w:type="dxa"/>
          </w:tcPr>
          <w:p w14:paraId="47E92D26" w14:textId="77777777" w:rsidR="00A32F81" w:rsidRPr="00A32F81" w:rsidRDefault="00A32F81" w:rsidP="00C12D3A">
            <w:pPr>
              <w:pStyle w:val="NoSpacing"/>
              <w:rPr>
                <w:rFonts w:ascii="Arial" w:hAnsi="Arial" w:cs="Arial"/>
              </w:rPr>
            </w:pPr>
          </w:p>
        </w:tc>
        <w:tc>
          <w:tcPr>
            <w:tcW w:w="908" w:type="dxa"/>
          </w:tcPr>
          <w:p w14:paraId="5775D728" w14:textId="77777777" w:rsidR="00A32F81" w:rsidRPr="00A32F81" w:rsidRDefault="00A32F81" w:rsidP="00C12D3A">
            <w:pPr>
              <w:pStyle w:val="NoSpacing"/>
              <w:rPr>
                <w:rFonts w:ascii="Arial" w:hAnsi="Arial" w:cs="Arial"/>
              </w:rPr>
            </w:pPr>
          </w:p>
        </w:tc>
        <w:tc>
          <w:tcPr>
            <w:tcW w:w="909" w:type="dxa"/>
          </w:tcPr>
          <w:p w14:paraId="5ECBF6E4" w14:textId="77777777" w:rsidR="00A32F81" w:rsidRPr="00A32F81" w:rsidRDefault="00A32F81" w:rsidP="00C12D3A">
            <w:pPr>
              <w:pStyle w:val="NoSpacing"/>
              <w:rPr>
                <w:rFonts w:ascii="Arial" w:hAnsi="Arial" w:cs="Arial"/>
              </w:rPr>
            </w:pPr>
          </w:p>
        </w:tc>
        <w:tc>
          <w:tcPr>
            <w:tcW w:w="908" w:type="dxa"/>
          </w:tcPr>
          <w:p w14:paraId="51CB6F1B" w14:textId="77777777" w:rsidR="00A32F81" w:rsidRPr="00A32F81" w:rsidRDefault="00A32F81" w:rsidP="00C12D3A">
            <w:pPr>
              <w:pStyle w:val="NoSpacing"/>
              <w:rPr>
                <w:rFonts w:ascii="Arial" w:hAnsi="Arial" w:cs="Arial"/>
              </w:rPr>
            </w:pPr>
          </w:p>
        </w:tc>
        <w:tc>
          <w:tcPr>
            <w:tcW w:w="908" w:type="dxa"/>
          </w:tcPr>
          <w:p w14:paraId="04723654" w14:textId="77777777" w:rsidR="00A32F81" w:rsidRPr="00A32F81" w:rsidRDefault="00A32F81" w:rsidP="00C12D3A">
            <w:pPr>
              <w:pStyle w:val="NoSpacing"/>
              <w:rPr>
                <w:rFonts w:ascii="Arial" w:hAnsi="Arial" w:cs="Arial"/>
              </w:rPr>
            </w:pPr>
          </w:p>
        </w:tc>
        <w:tc>
          <w:tcPr>
            <w:tcW w:w="908" w:type="dxa"/>
          </w:tcPr>
          <w:p w14:paraId="2C9AEDFD" w14:textId="77777777" w:rsidR="00A32F81" w:rsidRPr="00A32F81" w:rsidRDefault="00A32F81" w:rsidP="00C12D3A">
            <w:pPr>
              <w:pStyle w:val="NoSpacing"/>
              <w:rPr>
                <w:rFonts w:ascii="Arial" w:hAnsi="Arial" w:cs="Arial"/>
              </w:rPr>
            </w:pPr>
          </w:p>
        </w:tc>
        <w:tc>
          <w:tcPr>
            <w:tcW w:w="908" w:type="dxa"/>
          </w:tcPr>
          <w:p w14:paraId="4EA8C299" w14:textId="77777777" w:rsidR="00A32F81" w:rsidRPr="00A32F81" w:rsidRDefault="00A32F81" w:rsidP="00C12D3A">
            <w:pPr>
              <w:pStyle w:val="NoSpacing"/>
              <w:rPr>
                <w:rFonts w:ascii="Arial" w:hAnsi="Arial" w:cs="Arial"/>
              </w:rPr>
            </w:pPr>
          </w:p>
        </w:tc>
        <w:tc>
          <w:tcPr>
            <w:tcW w:w="909" w:type="dxa"/>
          </w:tcPr>
          <w:p w14:paraId="3B3E508F" w14:textId="77777777" w:rsidR="00A32F81" w:rsidRPr="00A32F81" w:rsidRDefault="00A32F81" w:rsidP="00C12D3A">
            <w:pPr>
              <w:pStyle w:val="NoSpacing"/>
              <w:rPr>
                <w:rFonts w:ascii="Arial" w:hAnsi="Arial" w:cs="Arial"/>
              </w:rPr>
            </w:pPr>
          </w:p>
        </w:tc>
      </w:tr>
      <w:tr w:rsidR="00A32F81" w:rsidRPr="00A32F81" w14:paraId="31F612D1" w14:textId="77777777" w:rsidTr="0066695F">
        <w:trPr>
          <w:jc w:val="center"/>
        </w:trPr>
        <w:tc>
          <w:tcPr>
            <w:tcW w:w="908" w:type="dxa"/>
          </w:tcPr>
          <w:p w14:paraId="3F263496" w14:textId="77777777" w:rsidR="00A32F81" w:rsidRPr="00A32F81" w:rsidRDefault="00A32F81" w:rsidP="00C12D3A">
            <w:pPr>
              <w:pStyle w:val="NoSpacing"/>
              <w:rPr>
                <w:rFonts w:ascii="Arial" w:hAnsi="Arial" w:cs="Arial"/>
                <w:strike/>
              </w:rPr>
            </w:pPr>
          </w:p>
        </w:tc>
        <w:tc>
          <w:tcPr>
            <w:tcW w:w="908" w:type="dxa"/>
          </w:tcPr>
          <w:p w14:paraId="37BC2BAB" w14:textId="77777777" w:rsidR="00A32F81" w:rsidRPr="00A32F81" w:rsidRDefault="00A32F81" w:rsidP="00C12D3A">
            <w:pPr>
              <w:pStyle w:val="NoSpacing"/>
              <w:rPr>
                <w:rFonts w:ascii="Arial" w:hAnsi="Arial" w:cs="Arial"/>
                <w:strike/>
              </w:rPr>
            </w:pPr>
          </w:p>
        </w:tc>
        <w:tc>
          <w:tcPr>
            <w:tcW w:w="908" w:type="dxa"/>
          </w:tcPr>
          <w:p w14:paraId="48E41C68" w14:textId="77777777" w:rsidR="00A32F81" w:rsidRPr="00A32F81" w:rsidRDefault="00A32F81" w:rsidP="00C12D3A">
            <w:pPr>
              <w:pStyle w:val="NoSpacing"/>
              <w:rPr>
                <w:rFonts w:ascii="Arial" w:hAnsi="Arial" w:cs="Arial"/>
                <w:strike/>
              </w:rPr>
            </w:pPr>
          </w:p>
        </w:tc>
        <w:tc>
          <w:tcPr>
            <w:tcW w:w="908" w:type="dxa"/>
          </w:tcPr>
          <w:p w14:paraId="7222A116" w14:textId="77777777" w:rsidR="00A32F81" w:rsidRPr="00A32F81" w:rsidRDefault="00A32F81" w:rsidP="00C12D3A">
            <w:pPr>
              <w:pStyle w:val="NoSpacing"/>
              <w:rPr>
                <w:rFonts w:ascii="Arial" w:hAnsi="Arial" w:cs="Arial"/>
                <w:strike/>
              </w:rPr>
            </w:pPr>
          </w:p>
        </w:tc>
        <w:tc>
          <w:tcPr>
            <w:tcW w:w="908" w:type="dxa"/>
          </w:tcPr>
          <w:p w14:paraId="358ACAFE" w14:textId="77777777" w:rsidR="00A32F81" w:rsidRPr="00A32F81" w:rsidRDefault="00A32F81" w:rsidP="00C12D3A">
            <w:pPr>
              <w:pStyle w:val="NoSpacing"/>
              <w:rPr>
                <w:rFonts w:ascii="Arial" w:hAnsi="Arial" w:cs="Arial"/>
                <w:strike/>
              </w:rPr>
            </w:pPr>
          </w:p>
        </w:tc>
        <w:tc>
          <w:tcPr>
            <w:tcW w:w="909" w:type="dxa"/>
          </w:tcPr>
          <w:p w14:paraId="289A51CF" w14:textId="77777777" w:rsidR="00A32F81" w:rsidRPr="00A32F81" w:rsidRDefault="00A32F81" w:rsidP="00C12D3A">
            <w:pPr>
              <w:pStyle w:val="NoSpacing"/>
              <w:rPr>
                <w:rFonts w:ascii="Arial" w:hAnsi="Arial" w:cs="Arial"/>
                <w:strike/>
              </w:rPr>
            </w:pPr>
          </w:p>
        </w:tc>
        <w:tc>
          <w:tcPr>
            <w:tcW w:w="908" w:type="dxa"/>
          </w:tcPr>
          <w:p w14:paraId="43413C61" w14:textId="77777777" w:rsidR="00A32F81" w:rsidRPr="00A32F81" w:rsidRDefault="00A32F81" w:rsidP="00C12D3A">
            <w:pPr>
              <w:pStyle w:val="NoSpacing"/>
              <w:rPr>
                <w:rFonts w:ascii="Arial" w:hAnsi="Arial" w:cs="Arial"/>
                <w:strike/>
              </w:rPr>
            </w:pPr>
          </w:p>
        </w:tc>
        <w:tc>
          <w:tcPr>
            <w:tcW w:w="908" w:type="dxa"/>
          </w:tcPr>
          <w:p w14:paraId="38B62856" w14:textId="77777777" w:rsidR="00A32F81" w:rsidRPr="00A32F81" w:rsidRDefault="00A32F81" w:rsidP="00C12D3A">
            <w:pPr>
              <w:pStyle w:val="NoSpacing"/>
              <w:rPr>
                <w:rFonts w:ascii="Arial" w:hAnsi="Arial" w:cs="Arial"/>
                <w:strike/>
              </w:rPr>
            </w:pPr>
          </w:p>
        </w:tc>
        <w:tc>
          <w:tcPr>
            <w:tcW w:w="908" w:type="dxa"/>
          </w:tcPr>
          <w:p w14:paraId="3F362F94" w14:textId="77777777" w:rsidR="00A32F81" w:rsidRPr="00A32F81" w:rsidRDefault="00A32F81" w:rsidP="00C12D3A">
            <w:pPr>
              <w:pStyle w:val="NoSpacing"/>
              <w:rPr>
                <w:rFonts w:ascii="Arial" w:hAnsi="Arial" w:cs="Arial"/>
                <w:strike/>
              </w:rPr>
            </w:pPr>
          </w:p>
        </w:tc>
        <w:tc>
          <w:tcPr>
            <w:tcW w:w="908" w:type="dxa"/>
          </w:tcPr>
          <w:p w14:paraId="1CCC0D6B" w14:textId="77777777" w:rsidR="00A32F81" w:rsidRPr="00A32F81" w:rsidRDefault="00A32F81" w:rsidP="00C12D3A">
            <w:pPr>
              <w:pStyle w:val="NoSpacing"/>
              <w:rPr>
                <w:rFonts w:ascii="Arial" w:hAnsi="Arial" w:cs="Arial"/>
                <w:strike/>
              </w:rPr>
            </w:pPr>
          </w:p>
        </w:tc>
        <w:tc>
          <w:tcPr>
            <w:tcW w:w="909" w:type="dxa"/>
          </w:tcPr>
          <w:p w14:paraId="5B2B94BE" w14:textId="77777777" w:rsidR="00A32F81" w:rsidRPr="00A32F81" w:rsidRDefault="00A32F81" w:rsidP="00C12D3A">
            <w:pPr>
              <w:pStyle w:val="NoSpacing"/>
              <w:rPr>
                <w:rFonts w:ascii="Arial" w:hAnsi="Arial" w:cs="Arial"/>
                <w:strike/>
              </w:rPr>
            </w:pPr>
          </w:p>
        </w:tc>
      </w:tr>
      <w:tr w:rsidR="00A32F81" w:rsidRPr="00A32F81" w14:paraId="23280610" w14:textId="77777777" w:rsidTr="0066695F">
        <w:trPr>
          <w:jc w:val="center"/>
        </w:trPr>
        <w:tc>
          <w:tcPr>
            <w:tcW w:w="908" w:type="dxa"/>
          </w:tcPr>
          <w:p w14:paraId="483CB4F1" w14:textId="77777777" w:rsidR="00A32F81" w:rsidRPr="00A32F81" w:rsidRDefault="00A32F81" w:rsidP="00C12D3A">
            <w:pPr>
              <w:pStyle w:val="NoSpacing"/>
              <w:rPr>
                <w:rFonts w:ascii="Arial" w:hAnsi="Arial" w:cs="Arial"/>
                <w:strike/>
              </w:rPr>
            </w:pPr>
          </w:p>
        </w:tc>
        <w:tc>
          <w:tcPr>
            <w:tcW w:w="908" w:type="dxa"/>
          </w:tcPr>
          <w:p w14:paraId="5BF6534C" w14:textId="77777777" w:rsidR="00A32F81" w:rsidRPr="00A32F81" w:rsidRDefault="00A32F81" w:rsidP="00C12D3A">
            <w:pPr>
              <w:pStyle w:val="NoSpacing"/>
              <w:rPr>
                <w:rFonts w:ascii="Arial" w:hAnsi="Arial" w:cs="Arial"/>
                <w:strike/>
              </w:rPr>
            </w:pPr>
          </w:p>
        </w:tc>
        <w:tc>
          <w:tcPr>
            <w:tcW w:w="908" w:type="dxa"/>
          </w:tcPr>
          <w:p w14:paraId="13E66AF8" w14:textId="77777777" w:rsidR="00A32F81" w:rsidRPr="00A32F81" w:rsidRDefault="00A32F81" w:rsidP="00C12D3A">
            <w:pPr>
              <w:pStyle w:val="NoSpacing"/>
              <w:rPr>
                <w:rFonts w:ascii="Arial" w:hAnsi="Arial" w:cs="Arial"/>
                <w:strike/>
              </w:rPr>
            </w:pPr>
          </w:p>
        </w:tc>
        <w:tc>
          <w:tcPr>
            <w:tcW w:w="908" w:type="dxa"/>
          </w:tcPr>
          <w:p w14:paraId="09A27634" w14:textId="77777777" w:rsidR="00A32F81" w:rsidRPr="00A32F81" w:rsidRDefault="00A32F81" w:rsidP="00C12D3A">
            <w:pPr>
              <w:pStyle w:val="NoSpacing"/>
              <w:rPr>
                <w:rFonts w:ascii="Arial" w:hAnsi="Arial" w:cs="Arial"/>
                <w:strike/>
              </w:rPr>
            </w:pPr>
          </w:p>
        </w:tc>
        <w:tc>
          <w:tcPr>
            <w:tcW w:w="908" w:type="dxa"/>
          </w:tcPr>
          <w:p w14:paraId="389D4EA8" w14:textId="77777777" w:rsidR="00A32F81" w:rsidRPr="00A32F81" w:rsidRDefault="00A32F81" w:rsidP="00C12D3A">
            <w:pPr>
              <w:pStyle w:val="NoSpacing"/>
              <w:rPr>
                <w:rFonts w:ascii="Arial" w:hAnsi="Arial" w:cs="Arial"/>
                <w:strike/>
              </w:rPr>
            </w:pPr>
          </w:p>
        </w:tc>
        <w:tc>
          <w:tcPr>
            <w:tcW w:w="909" w:type="dxa"/>
          </w:tcPr>
          <w:p w14:paraId="05DF4B7E" w14:textId="77777777" w:rsidR="00A32F81" w:rsidRPr="00A32F81" w:rsidRDefault="00A32F81" w:rsidP="00C12D3A">
            <w:pPr>
              <w:pStyle w:val="NoSpacing"/>
              <w:rPr>
                <w:rFonts w:ascii="Arial" w:hAnsi="Arial" w:cs="Arial"/>
                <w:strike/>
              </w:rPr>
            </w:pPr>
          </w:p>
        </w:tc>
        <w:tc>
          <w:tcPr>
            <w:tcW w:w="908" w:type="dxa"/>
          </w:tcPr>
          <w:p w14:paraId="625FC6AF" w14:textId="77777777" w:rsidR="00A32F81" w:rsidRPr="00A32F81" w:rsidRDefault="00A32F81" w:rsidP="00C12D3A">
            <w:pPr>
              <w:pStyle w:val="NoSpacing"/>
              <w:rPr>
                <w:rFonts w:ascii="Arial" w:hAnsi="Arial" w:cs="Arial"/>
                <w:strike/>
              </w:rPr>
            </w:pPr>
          </w:p>
        </w:tc>
        <w:tc>
          <w:tcPr>
            <w:tcW w:w="908" w:type="dxa"/>
          </w:tcPr>
          <w:p w14:paraId="0F562455" w14:textId="77777777" w:rsidR="00A32F81" w:rsidRPr="00A32F81" w:rsidRDefault="00A32F81" w:rsidP="00C12D3A">
            <w:pPr>
              <w:pStyle w:val="NoSpacing"/>
              <w:rPr>
                <w:rFonts w:ascii="Arial" w:hAnsi="Arial" w:cs="Arial"/>
                <w:strike/>
              </w:rPr>
            </w:pPr>
          </w:p>
        </w:tc>
        <w:tc>
          <w:tcPr>
            <w:tcW w:w="908" w:type="dxa"/>
          </w:tcPr>
          <w:p w14:paraId="76BC94E9" w14:textId="77777777" w:rsidR="00A32F81" w:rsidRPr="00A32F81" w:rsidRDefault="00A32F81" w:rsidP="00C12D3A">
            <w:pPr>
              <w:pStyle w:val="NoSpacing"/>
              <w:rPr>
                <w:rFonts w:ascii="Arial" w:hAnsi="Arial" w:cs="Arial"/>
                <w:strike/>
              </w:rPr>
            </w:pPr>
          </w:p>
        </w:tc>
        <w:tc>
          <w:tcPr>
            <w:tcW w:w="908" w:type="dxa"/>
          </w:tcPr>
          <w:p w14:paraId="3BA9AC26" w14:textId="77777777" w:rsidR="00A32F81" w:rsidRPr="00A32F81" w:rsidRDefault="00A32F81" w:rsidP="00C12D3A">
            <w:pPr>
              <w:pStyle w:val="NoSpacing"/>
              <w:rPr>
                <w:rFonts w:ascii="Arial" w:hAnsi="Arial" w:cs="Arial"/>
                <w:strike/>
              </w:rPr>
            </w:pPr>
          </w:p>
        </w:tc>
        <w:tc>
          <w:tcPr>
            <w:tcW w:w="909" w:type="dxa"/>
          </w:tcPr>
          <w:p w14:paraId="773E113B" w14:textId="77777777" w:rsidR="00A32F81" w:rsidRPr="00A32F81" w:rsidRDefault="00A32F81" w:rsidP="00C12D3A">
            <w:pPr>
              <w:pStyle w:val="NoSpacing"/>
              <w:rPr>
                <w:rFonts w:ascii="Arial" w:hAnsi="Arial" w:cs="Arial"/>
                <w:strike/>
              </w:rPr>
            </w:pPr>
          </w:p>
        </w:tc>
      </w:tr>
    </w:tbl>
    <w:p w14:paraId="2DC60DC2" w14:textId="77777777" w:rsidR="0066695F" w:rsidRPr="0066695F" w:rsidRDefault="0066695F" w:rsidP="00C12D3A">
      <w:pPr>
        <w:spacing w:before="0" w:after="0" w:line="240" w:lineRule="auto"/>
        <w:rPr>
          <w:rFonts w:eastAsia="Calibri" w:cs="Arial"/>
          <w:color w:val="auto"/>
          <w:kern w:val="0"/>
          <w:szCs w:val="22"/>
          <w14:ligatures w14:val="none"/>
        </w:rPr>
      </w:pPr>
      <w:r w:rsidRPr="0066695F">
        <w:rPr>
          <w:rFonts w:eastAsia="Calibri" w:cs="Arial"/>
          <w:color w:val="auto"/>
          <w:kern w:val="0"/>
          <w:szCs w:val="22"/>
          <w14:ligatures w14:val="none"/>
        </w:rPr>
        <w:t>*The vendor software aggregation of antimicrobial days will be the same as the data submitted to NHSN.</w:t>
      </w:r>
    </w:p>
    <w:p w14:paraId="220A8446" w14:textId="77777777" w:rsidR="0066695F" w:rsidRPr="0066695F" w:rsidRDefault="0066695F" w:rsidP="00C12D3A">
      <w:pPr>
        <w:spacing w:before="0" w:after="0" w:line="240" w:lineRule="auto"/>
        <w:rPr>
          <w:rFonts w:eastAsia="Calibri" w:cs="Arial"/>
          <w:color w:val="auto"/>
          <w:kern w:val="0"/>
          <w:szCs w:val="22"/>
          <w14:ligatures w14:val="none"/>
        </w:rPr>
      </w:pPr>
    </w:p>
    <w:p w14:paraId="102F0E50" w14:textId="77777777" w:rsidR="00330003" w:rsidRDefault="0066695F" w:rsidP="00DB1308">
      <w:pPr>
        <w:spacing w:before="0" w:after="0" w:line="240" w:lineRule="auto"/>
        <w:rPr>
          <w:rFonts w:eastAsia="Calibri" w:cs="Arial"/>
          <w:color w:val="auto"/>
          <w:kern w:val="0"/>
          <w:szCs w:val="22"/>
          <w14:ligatures w14:val="none"/>
        </w:rPr>
      </w:pPr>
      <w:r w:rsidRPr="0066695F">
        <w:rPr>
          <w:rFonts w:eastAsia="Calibri" w:cs="Arial"/>
          <w:color w:val="auto"/>
          <w:kern w:val="0"/>
          <w:szCs w:val="22"/>
          <w14:ligatures w14:val="none"/>
        </w:rPr>
        <w:t xml:space="preserve">Manually validate that the vendor software is correctly aggregating the numerator for the total antimicrobial days and sub-stratification based on routes of administration. Confirm that the total antimicrobial days are less than or equal to the sum of the routes of administration. </w:t>
      </w:r>
    </w:p>
    <w:p w14:paraId="365BD04B" w14:textId="77777777" w:rsidR="00330003" w:rsidRDefault="00330003" w:rsidP="00DB1308">
      <w:pPr>
        <w:spacing w:before="0" w:after="0" w:line="240" w:lineRule="auto"/>
        <w:rPr>
          <w:rFonts w:eastAsia="Calibri" w:cs="Arial"/>
          <w:color w:val="auto"/>
          <w:kern w:val="0"/>
          <w:szCs w:val="22"/>
          <w14:ligatures w14:val="none"/>
        </w:rPr>
      </w:pPr>
    </w:p>
    <w:p w14:paraId="08813F22" w14:textId="56AC7163" w:rsidR="0066695F" w:rsidRPr="0066695F" w:rsidRDefault="0066695F" w:rsidP="00D61984">
      <w:pPr>
        <w:spacing w:before="0" w:after="0" w:line="240" w:lineRule="auto"/>
        <w:rPr>
          <w:rFonts w:eastAsia="Calibri" w:cs="Arial"/>
          <w:color w:val="auto"/>
          <w:kern w:val="0"/>
          <w:szCs w:val="22"/>
          <w14:ligatures w14:val="none"/>
        </w:rPr>
      </w:pPr>
      <w:r w:rsidRPr="00D61984">
        <w:rPr>
          <w:rFonts w:eastAsia="Calibri" w:cs="Arial"/>
          <w:b/>
          <w:bCs/>
          <w:color w:val="auto"/>
          <w:kern w:val="0"/>
          <w:szCs w:val="22"/>
          <w14:ligatures w14:val="none"/>
        </w:rPr>
        <w:t>Note</w:t>
      </w:r>
      <w:r w:rsidRPr="0066695F">
        <w:rPr>
          <w:rFonts w:eastAsia="Calibri" w:cs="Arial"/>
          <w:color w:val="auto"/>
          <w:kern w:val="0"/>
          <w:szCs w:val="22"/>
          <w14:ligatures w14:val="none"/>
        </w:rPr>
        <w:t xml:space="preserve">: </w:t>
      </w:r>
      <w:r w:rsidR="004342E2">
        <w:rPr>
          <w:rFonts w:eastAsia="Calibri" w:cs="Arial"/>
          <w:color w:val="auto"/>
          <w:kern w:val="0"/>
          <w:szCs w:val="22"/>
          <w14:ligatures w14:val="none"/>
        </w:rPr>
        <w:t>F</w:t>
      </w:r>
      <w:r w:rsidRPr="0066695F">
        <w:rPr>
          <w:rFonts w:eastAsia="Calibri" w:cs="Arial"/>
          <w:color w:val="auto"/>
          <w:kern w:val="0"/>
          <w:szCs w:val="22"/>
          <w14:ligatures w14:val="none"/>
        </w:rPr>
        <w:t>or drugs administered more than once daily, the total may be equal to the sum of the routes if there was a low patient census for the specified location and month.</w:t>
      </w:r>
    </w:p>
    <w:p w14:paraId="615FBCB0" w14:textId="77777777" w:rsidR="0066695F" w:rsidRPr="0066695F" w:rsidRDefault="0066695F" w:rsidP="00C12D3A">
      <w:pPr>
        <w:spacing w:before="0" w:after="0" w:line="240" w:lineRule="auto"/>
        <w:rPr>
          <w:rFonts w:eastAsia="Calibri" w:cs="Arial"/>
          <w:color w:val="auto"/>
          <w:kern w:val="0"/>
          <w:szCs w:val="22"/>
          <w14:ligatures w14:val="none"/>
        </w:rPr>
      </w:pPr>
    </w:p>
    <w:p w14:paraId="30D694C3" w14:textId="6FDBA442" w:rsidR="0066695F" w:rsidRPr="00672891" w:rsidRDefault="0066695F" w:rsidP="00C12D3A">
      <w:pPr>
        <w:pStyle w:val="NoSpacing"/>
        <w:rPr>
          <w:rFonts w:ascii="Arial" w:hAnsi="Arial" w:cs="Arial"/>
        </w:rPr>
      </w:pPr>
      <w:r w:rsidRPr="00672891">
        <w:rPr>
          <w:rFonts w:ascii="Arial" w:eastAsia="Calibri" w:hAnsi="Arial" w:cs="Arial"/>
          <w:b/>
          <w:bCs/>
        </w:rPr>
        <w:t>FacWideIN methodology</w:t>
      </w:r>
      <w:r w:rsidRPr="00672891">
        <w:rPr>
          <w:rFonts w:ascii="Arial" w:eastAsia="Calibri" w:hAnsi="Arial" w:cs="Arial"/>
        </w:rPr>
        <w:t xml:space="preserve">: This section confirms that the software is correctly aggregating the antimicrobial days reported for the FacWideIN record. </w:t>
      </w:r>
      <w:r w:rsidR="00246602">
        <w:rPr>
          <w:rFonts w:ascii="Arial" w:hAnsi="Arial" w:cs="Arial"/>
        </w:rPr>
        <w:t>The v</w:t>
      </w:r>
      <w:r w:rsidR="00246602" w:rsidRPr="00C111AB">
        <w:rPr>
          <w:rFonts w:ascii="Arial" w:hAnsi="Arial" w:cs="Arial"/>
        </w:rPr>
        <w:t>endor system’s FacWideIN logic should include all applicable inpatient locations, including procedural areas such as Operating Rooms and Interventional Radiology, if applicable.</w:t>
      </w:r>
      <w:r w:rsidR="00246602">
        <w:rPr>
          <w:rFonts w:ascii="Arial" w:hAnsi="Arial" w:cs="Arial"/>
        </w:rPr>
        <w:t xml:space="preserve"> </w:t>
      </w:r>
      <w:r w:rsidRPr="00672891">
        <w:rPr>
          <w:rFonts w:ascii="Arial" w:eastAsia="Calibri" w:hAnsi="Arial" w:cs="Arial"/>
        </w:rPr>
        <w:t>It’s important to ensure the FacWideIN antimicrobial days are correct to confidently interpret antimicrobial usage rates across the facility. Additionally, this section may help identify locations that are missing from either the FacWideIN calculation or individual submission. Choose three commonly used drugs, administered more than once per day, to confirm appropriate aggregation of FacWideIN antimicrobial days (see table below).</w:t>
      </w:r>
    </w:p>
    <w:p w14:paraId="3315DB1A" w14:textId="77777777" w:rsidR="0066695F" w:rsidRPr="0066695F" w:rsidRDefault="0066695F" w:rsidP="00DF019C">
      <w:pPr>
        <w:spacing w:before="0" w:after="0" w:line="240" w:lineRule="auto"/>
        <w:rPr>
          <w:rFonts w:eastAsia="Calibri" w:cs="Arial"/>
          <w:color w:val="auto"/>
          <w:kern w:val="0"/>
          <w:szCs w:val="22"/>
          <w14:ligatures w14:val="none"/>
        </w:rPr>
      </w:pPr>
    </w:p>
    <w:p w14:paraId="68833B40" w14:textId="77777777" w:rsidR="0066695F" w:rsidRPr="0066695F" w:rsidRDefault="0066695F" w:rsidP="00C12D3A">
      <w:pPr>
        <w:spacing w:before="0" w:after="0" w:line="240" w:lineRule="auto"/>
        <w:rPr>
          <w:rFonts w:eastAsia="Calibri" w:cs="Arial"/>
          <w:color w:val="auto"/>
          <w:kern w:val="0"/>
          <w:szCs w:val="22"/>
          <w14:ligatures w14:val="none"/>
        </w:rPr>
      </w:pPr>
      <w:r w:rsidRPr="0066695F">
        <w:rPr>
          <w:rFonts w:eastAsia="Calibri" w:cs="Arial"/>
          <w:b/>
          <w:bCs/>
          <w:color w:val="auto"/>
          <w:kern w:val="0"/>
          <w:szCs w:val="22"/>
          <w14:ligatures w14:val="none"/>
        </w:rPr>
        <w:t>Example</w:t>
      </w:r>
      <w:r w:rsidRPr="000B0909">
        <w:rPr>
          <w:rFonts w:eastAsia="Calibri" w:cs="Arial"/>
          <w:color w:val="auto"/>
          <w:kern w:val="0"/>
          <w:szCs w:val="22"/>
          <w14:ligatures w14:val="none"/>
        </w:rPr>
        <w:t>:</w:t>
      </w:r>
      <w:r w:rsidRPr="0066695F">
        <w:rPr>
          <w:rFonts w:eastAsia="Calibri" w:cs="Arial"/>
          <w:color w:val="auto"/>
          <w:kern w:val="0"/>
          <w:szCs w:val="22"/>
          <w14:ligatures w14:val="none"/>
        </w:rPr>
        <w:t xml:space="preserve"> The location-specific antimicrobial days for piperacillin/tazobactam may add up to be higher than the FacWideIN antimicrobial days for piperacillin/tazobactam because piperacillin/tazobactam can be administered more than once daily. Therefore, if a patient received piperacillin/tazobactam once in the medical ward in the morning then was transferred and received the remaining doses in the medical intensive care unit (ICU), that patient would contribute one antimicrobial day for piperacillin/tazobactam to both the medical ward and the medical ICU but could still only contribute one total antimicrobial day to the FacWideIN count for piperacillin/tazobactam.</w:t>
      </w:r>
    </w:p>
    <w:p w14:paraId="0D84F90B" w14:textId="77777777" w:rsidR="0066695F" w:rsidRPr="0066695F" w:rsidRDefault="0066695F" w:rsidP="002C32EB">
      <w:pPr>
        <w:spacing w:before="0" w:after="0" w:line="240" w:lineRule="auto"/>
        <w:rPr>
          <w:rFonts w:eastAsia="Calibri" w:cs="Arial"/>
          <w:color w:val="auto"/>
          <w:kern w:val="0"/>
          <w:szCs w:val="22"/>
          <w14:ligatures w14:val="none"/>
        </w:rPr>
      </w:pPr>
    </w:p>
    <w:p w14:paraId="4152D8F6" w14:textId="77777777" w:rsidR="0066695F" w:rsidRPr="0066695F" w:rsidRDefault="0066695F" w:rsidP="00C12D3A">
      <w:pPr>
        <w:spacing w:before="0" w:after="0" w:line="240" w:lineRule="auto"/>
        <w:rPr>
          <w:rFonts w:eastAsia="Calibri" w:cs="Arial"/>
          <w:color w:val="auto"/>
          <w:kern w:val="0"/>
          <w:szCs w:val="22"/>
          <w14:ligatures w14:val="none"/>
        </w:rPr>
      </w:pPr>
      <w:r w:rsidRPr="0066695F">
        <w:rPr>
          <w:rFonts w:eastAsia="Calibri" w:cs="Arial"/>
          <w:color w:val="auto"/>
          <w:kern w:val="0"/>
          <w:szCs w:val="22"/>
          <w14:ligatures w14:val="none"/>
        </w:rPr>
        <w:lastRenderedPageBreak/>
        <w:t>Consider using the table below, or something similar in the program of your choice, to compare your aggregations. List the drug-specific values of antimicrobial days for FacWideIN and the drug-specific values of antimicrobial days for the aggregate of all inpatient locations in the table and then review.</w:t>
      </w:r>
    </w:p>
    <w:p w14:paraId="225A3786" w14:textId="77777777" w:rsidR="0066695F" w:rsidRPr="0066695F" w:rsidRDefault="0066695F" w:rsidP="002C32EB">
      <w:pPr>
        <w:spacing w:before="0" w:after="0" w:line="240" w:lineRule="auto"/>
        <w:rPr>
          <w:rFonts w:eastAsia="Calibri" w:cs="Arial"/>
          <w:color w:val="auto"/>
          <w:kern w:val="0"/>
          <w:szCs w:val="22"/>
          <w14:ligatures w14:val="none"/>
        </w:rPr>
      </w:pPr>
    </w:p>
    <w:p w14:paraId="7A10E791" w14:textId="77777777" w:rsidR="0066695F" w:rsidRPr="0066695F" w:rsidRDefault="0066695F" w:rsidP="00C12D3A">
      <w:pPr>
        <w:spacing w:before="0" w:after="0" w:line="240" w:lineRule="auto"/>
        <w:rPr>
          <w:rFonts w:eastAsia="Calibri" w:cs="Arial"/>
          <w:color w:val="auto"/>
          <w:kern w:val="0"/>
          <w:szCs w:val="22"/>
          <w14:ligatures w14:val="none"/>
        </w:rPr>
      </w:pPr>
      <w:r w:rsidRPr="0066695F">
        <w:rPr>
          <w:rFonts w:eastAsia="Calibri" w:cs="Arial"/>
          <w:color w:val="auto"/>
          <w:kern w:val="0"/>
          <w:szCs w:val="22"/>
          <w14:ligatures w14:val="none"/>
        </w:rPr>
        <w:t xml:space="preserve">The difference in antimicrobial days between the sum across all inpatient locations and FacWideIN depends on how frequent patients with antimicrobial use are transferred among inpatient locations in your facility. You may select three commonly used antimicrobials and calculate the percentage of difference using the formula below: </w:t>
      </w:r>
    </w:p>
    <w:p w14:paraId="7590A859" w14:textId="77777777" w:rsidR="0066695F" w:rsidRPr="0066695F" w:rsidRDefault="0066695F" w:rsidP="002C32EB">
      <w:pPr>
        <w:spacing w:before="0" w:after="0" w:line="240" w:lineRule="auto"/>
        <w:rPr>
          <w:rFonts w:eastAsia="Calibri" w:cs="Arial"/>
          <w:color w:val="auto"/>
          <w:kern w:val="0"/>
          <w:szCs w:val="22"/>
          <w14:ligatures w14:val="none"/>
        </w:rPr>
      </w:pPr>
    </w:p>
    <w:p w14:paraId="49975624" w14:textId="77777777" w:rsidR="0066695F" w:rsidRPr="0066695F" w:rsidRDefault="0066695F" w:rsidP="00C12D3A">
      <w:pPr>
        <w:spacing w:before="0" w:after="0" w:line="240" w:lineRule="auto"/>
        <w:rPr>
          <w:rFonts w:eastAsia="Calibri" w:cs="Arial"/>
          <w:color w:val="auto"/>
          <w:kern w:val="0"/>
          <w:szCs w:val="22"/>
          <w14:ligatures w14:val="none"/>
        </w:rPr>
      </w:pPr>
      <w:r w:rsidRPr="0066695F">
        <w:rPr>
          <w:rFonts w:eastAsia="MS Mincho" w:cs="Arial"/>
          <w:color w:val="auto"/>
          <w:kern w:val="0"/>
          <w:szCs w:val="22"/>
          <w14:ligatures w14:val="none"/>
        </w:rPr>
        <w:t xml:space="preserve">Percent difference: </w:t>
      </w:r>
      <m:oMath>
        <m:f>
          <m:fPr>
            <m:ctrlPr>
              <w:rPr>
                <w:rFonts w:ascii="Cambria Math" w:eastAsia="Calibri" w:hAnsi="Cambria Math" w:cs="Arial"/>
                <w:i/>
                <w:color w:val="auto"/>
                <w:kern w:val="0"/>
                <w:szCs w:val="22"/>
                <w14:ligatures w14:val="none"/>
              </w:rPr>
            </m:ctrlPr>
          </m:fPr>
          <m:num>
            <m:r>
              <w:rPr>
                <w:rFonts w:ascii="Cambria Math" w:eastAsia="Calibri" w:hAnsi="Cambria Math" w:cs="Arial"/>
                <w:color w:val="auto"/>
                <w:kern w:val="0"/>
                <w:szCs w:val="22"/>
                <w14:ligatures w14:val="none"/>
              </w:rPr>
              <m:t>Sum of antimicrobial days across all inpatient locations - FacWideIN antimicrobial days</m:t>
            </m:r>
          </m:num>
          <m:den>
            <m:r>
              <w:rPr>
                <w:rFonts w:ascii="Cambria Math" w:eastAsia="Calibri" w:hAnsi="Cambria Math" w:cs="Arial"/>
                <w:color w:val="auto"/>
                <w:kern w:val="0"/>
                <w:szCs w:val="22"/>
                <w14:ligatures w14:val="none"/>
              </w:rPr>
              <m:t>FacWideIN antimicrobial days</m:t>
            </m:r>
          </m:den>
        </m:f>
        <m:r>
          <w:rPr>
            <w:rFonts w:ascii="Cambria Math" w:eastAsia="Calibri" w:hAnsi="Cambria Math" w:cs="Arial"/>
            <w:color w:val="auto"/>
            <w:kern w:val="0"/>
            <w:szCs w:val="22"/>
            <w14:ligatures w14:val="none"/>
          </w:rPr>
          <m:t>×100%</m:t>
        </m:r>
      </m:oMath>
      <w:r w:rsidRPr="0066695F">
        <w:rPr>
          <w:rFonts w:eastAsia="Calibri" w:cs="Arial"/>
          <w:color w:val="auto"/>
          <w:kern w:val="0"/>
          <w:szCs w:val="22"/>
          <w14:ligatures w14:val="none"/>
        </w:rPr>
        <w:t xml:space="preserve"> </w:t>
      </w:r>
    </w:p>
    <w:p w14:paraId="4DD08E00" w14:textId="77777777" w:rsidR="0066695F" w:rsidRPr="0066695F" w:rsidRDefault="0066695F" w:rsidP="00C12D3A">
      <w:pPr>
        <w:spacing w:before="0" w:after="0" w:line="240" w:lineRule="auto"/>
        <w:ind w:left="720"/>
        <w:rPr>
          <w:rFonts w:eastAsia="Calibri" w:cs="Arial"/>
          <w:color w:val="auto"/>
          <w:kern w:val="0"/>
          <w:szCs w:val="22"/>
          <w14:ligatures w14:val="none"/>
        </w:rPr>
      </w:pPr>
    </w:p>
    <w:p w14:paraId="54E4778E" w14:textId="77777777" w:rsidR="0066695F" w:rsidRDefault="0066695F" w:rsidP="00C12D3A">
      <w:pPr>
        <w:spacing w:before="0" w:after="0" w:line="240" w:lineRule="auto"/>
        <w:rPr>
          <w:rFonts w:eastAsia="Calibri" w:cs="Arial"/>
          <w:color w:val="auto"/>
          <w:kern w:val="0"/>
          <w:szCs w:val="22"/>
          <w14:ligatures w14:val="none"/>
        </w:rPr>
      </w:pPr>
      <w:r w:rsidRPr="0066695F">
        <w:rPr>
          <w:rFonts w:eastAsia="Calibri" w:cs="Arial"/>
          <w:color w:val="auto"/>
          <w:kern w:val="0"/>
          <w:szCs w:val="22"/>
          <w14:ligatures w14:val="none"/>
        </w:rPr>
        <w:t>This value should always be equal or greater than zero. In most cases (&gt;90% of all facilities), this percentage of difference for vancomycin, piperacillin/tazobactam, and ceftriaxone fell within 4.5%, 6.2%, and 2.2%, respectively.</w:t>
      </w:r>
    </w:p>
    <w:p w14:paraId="573C7931" w14:textId="77777777" w:rsidR="0066695F" w:rsidRDefault="0066695F" w:rsidP="00C12D3A">
      <w:pPr>
        <w:spacing w:before="0" w:after="0" w:line="240" w:lineRule="auto"/>
        <w:rPr>
          <w:rFonts w:eastAsia="Calibri" w:cs="Arial"/>
          <w:color w:val="auto"/>
          <w:kern w:val="0"/>
          <w:szCs w:val="22"/>
          <w14:ligatures w14:val="none"/>
        </w:rPr>
      </w:pPr>
    </w:p>
    <w:tbl>
      <w:tblPr>
        <w:tblStyle w:val="TableGrid"/>
        <w:tblW w:w="0" w:type="auto"/>
        <w:tblInd w:w="-5" w:type="dxa"/>
        <w:tblLayout w:type="fixed"/>
        <w:tblLook w:val="04A0" w:firstRow="1" w:lastRow="0" w:firstColumn="1" w:lastColumn="0" w:noHBand="0" w:noVBand="1"/>
      </w:tblPr>
      <w:tblGrid>
        <w:gridCol w:w="2573"/>
        <w:gridCol w:w="1853"/>
        <w:gridCol w:w="1853"/>
        <w:gridCol w:w="1853"/>
        <w:gridCol w:w="1854"/>
      </w:tblGrid>
      <w:tr w:rsidR="0066695F" w:rsidRPr="0066695F" w14:paraId="71F5AE18" w14:textId="77777777" w:rsidTr="00B70C63">
        <w:tc>
          <w:tcPr>
            <w:tcW w:w="2573" w:type="dxa"/>
            <w:vAlign w:val="center"/>
          </w:tcPr>
          <w:p w14:paraId="0765C7DC" w14:textId="77777777" w:rsidR="0066695F" w:rsidRPr="0066695F" w:rsidRDefault="0066695F" w:rsidP="00C12D3A">
            <w:pPr>
              <w:pStyle w:val="NoSpacing"/>
              <w:rPr>
                <w:rFonts w:ascii="Arial" w:hAnsi="Arial" w:cs="Arial"/>
                <w:b/>
                <w:bCs/>
              </w:rPr>
            </w:pPr>
            <w:r w:rsidRPr="0066695F">
              <w:rPr>
                <w:rFonts w:ascii="Arial" w:hAnsi="Arial" w:cs="Arial"/>
                <w:b/>
                <w:bCs/>
              </w:rPr>
              <w:t>Drug Name</w:t>
            </w:r>
          </w:p>
        </w:tc>
        <w:tc>
          <w:tcPr>
            <w:tcW w:w="1853" w:type="dxa"/>
            <w:vAlign w:val="center"/>
          </w:tcPr>
          <w:p w14:paraId="66B0EB75" w14:textId="77777777" w:rsidR="0066695F" w:rsidRPr="0066695F" w:rsidRDefault="0066695F" w:rsidP="00C12D3A">
            <w:pPr>
              <w:pStyle w:val="NoSpacing"/>
              <w:rPr>
                <w:rFonts w:ascii="Arial" w:hAnsi="Arial" w:cs="Arial"/>
              </w:rPr>
            </w:pPr>
            <w:r w:rsidRPr="0066695F">
              <w:rPr>
                <w:rFonts w:ascii="Arial" w:hAnsi="Arial" w:cs="Arial"/>
                <w:b/>
              </w:rPr>
              <w:t>Month/Year</w:t>
            </w:r>
          </w:p>
        </w:tc>
        <w:tc>
          <w:tcPr>
            <w:tcW w:w="1853" w:type="dxa"/>
            <w:vAlign w:val="center"/>
          </w:tcPr>
          <w:p w14:paraId="2C45CB9C" w14:textId="77777777" w:rsidR="0066695F" w:rsidRPr="0066695F" w:rsidRDefault="0066695F" w:rsidP="00C12D3A">
            <w:pPr>
              <w:pStyle w:val="NoSpacing"/>
              <w:rPr>
                <w:rFonts w:ascii="Arial" w:hAnsi="Arial" w:cs="Arial"/>
              </w:rPr>
            </w:pPr>
            <w:r w:rsidRPr="0066695F">
              <w:rPr>
                <w:rFonts w:ascii="Arial" w:hAnsi="Arial" w:cs="Arial"/>
                <w:b/>
              </w:rPr>
              <w:t>Total Antimicrobial Days for FacWideIN</w:t>
            </w:r>
          </w:p>
        </w:tc>
        <w:tc>
          <w:tcPr>
            <w:tcW w:w="1853" w:type="dxa"/>
            <w:vAlign w:val="center"/>
          </w:tcPr>
          <w:p w14:paraId="0CA0ECED" w14:textId="77777777" w:rsidR="0066695F" w:rsidRPr="0066695F" w:rsidRDefault="0066695F" w:rsidP="00C12D3A">
            <w:pPr>
              <w:pStyle w:val="NoSpacing"/>
              <w:rPr>
                <w:rFonts w:ascii="Arial" w:hAnsi="Arial" w:cs="Arial"/>
              </w:rPr>
            </w:pPr>
            <w:r w:rsidRPr="0066695F">
              <w:rPr>
                <w:rFonts w:ascii="Arial" w:hAnsi="Arial" w:cs="Arial"/>
                <w:b/>
              </w:rPr>
              <w:t>Total Antimicrobial Days for aggregate of all individual inpatient locations</w:t>
            </w:r>
          </w:p>
        </w:tc>
        <w:tc>
          <w:tcPr>
            <w:tcW w:w="1854" w:type="dxa"/>
            <w:vAlign w:val="center"/>
          </w:tcPr>
          <w:p w14:paraId="14ADFDFE" w14:textId="77777777" w:rsidR="0066695F" w:rsidRPr="0066695F" w:rsidRDefault="0066695F" w:rsidP="00C12D3A">
            <w:pPr>
              <w:pStyle w:val="NoSpacing"/>
              <w:rPr>
                <w:rFonts w:ascii="Arial" w:hAnsi="Arial" w:cs="Arial"/>
                <w:b/>
              </w:rPr>
            </w:pPr>
            <w:r w:rsidRPr="0066695F">
              <w:rPr>
                <w:rFonts w:ascii="Arial" w:hAnsi="Arial" w:cs="Arial"/>
                <w:b/>
              </w:rPr>
              <w:t>Percent Difference between FacWideIN and sum of all inpatient locations</w:t>
            </w:r>
          </w:p>
        </w:tc>
      </w:tr>
      <w:tr w:rsidR="0066695F" w:rsidRPr="0066695F" w14:paraId="53AEBA0D" w14:textId="77777777" w:rsidTr="00B70C63">
        <w:tc>
          <w:tcPr>
            <w:tcW w:w="2573" w:type="dxa"/>
            <w:vAlign w:val="center"/>
          </w:tcPr>
          <w:p w14:paraId="7924D117" w14:textId="77777777" w:rsidR="0066695F" w:rsidRPr="0066695F" w:rsidRDefault="0066695F" w:rsidP="00C12D3A">
            <w:pPr>
              <w:pStyle w:val="NoSpacing"/>
              <w:rPr>
                <w:rFonts w:ascii="Arial" w:hAnsi="Arial" w:cs="Arial"/>
                <w:b/>
                <w:bCs/>
              </w:rPr>
            </w:pPr>
            <w:r w:rsidRPr="0066695F">
              <w:rPr>
                <w:rFonts w:ascii="Arial" w:hAnsi="Arial" w:cs="Arial"/>
              </w:rPr>
              <w:t>Vancomycin</w:t>
            </w:r>
          </w:p>
        </w:tc>
        <w:tc>
          <w:tcPr>
            <w:tcW w:w="1853" w:type="dxa"/>
            <w:vAlign w:val="center"/>
          </w:tcPr>
          <w:p w14:paraId="147661A9" w14:textId="77777777" w:rsidR="0066695F" w:rsidRPr="0066695F" w:rsidRDefault="0066695F" w:rsidP="00C12D3A">
            <w:pPr>
              <w:pStyle w:val="NoSpacing"/>
              <w:rPr>
                <w:rFonts w:ascii="Arial" w:hAnsi="Arial" w:cs="Arial"/>
              </w:rPr>
            </w:pPr>
          </w:p>
        </w:tc>
        <w:tc>
          <w:tcPr>
            <w:tcW w:w="1853" w:type="dxa"/>
            <w:vAlign w:val="center"/>
          </w:tcPr>
          <w:p w14:paraId="1C8D3F14" w14:textId="77777777" w:rsidR="0066695F" w:rsidRPr="0066695F" w:rsidRDefault="0066695F" w:rsidP="00C12D3A">
            <w:pPr>
              <w:pStyle w:val="NoSpacing"/>
              <w:rPr>
                <w:rFonts w:ascii="Arial" w:hAnsi="Arial" w:cs="Arial"/>
              </w:rPr>
            </w:pPr>
          </w:p>
        </w:tc>
        <w:tc>
          <w:tcPr>
            <w:tcW w:w="1853" w:type="dxa"/>
            <w:vAlign w:val="center"/>
          </w:tcPr>
          <w:p w14:paraId="71B99BF5" w14:textId="77777777" w:rsidR="0066695F" w:rsidRPr="0066695F" w:rsidRDefault="0066695F" w:rsidP="00C12D3A">
            <w:pPr>
              <w:pStyle w:val="NoSpacing"/>
              <w:rPr>
                <w:rFonts w:ascii="Arial" w:hAnsi="Arial" w:cs="Arial"/>
              </w:rPr>
            </w:pPr>
          </w:p>
        </w:tc>
        <w:tc>
          <w:tcPr>
            <w:tcW w:w="1854" w:type="dxa"/>
            <w:vAlign w:val="center"/>
          </w:tcPr>
          <w:p w14:paraId="78A100F5" w14:textId="77777777" w:rsidR="0066695F" w:rsidRPr="0066695F" w:rsidRDefault="0066695F" w:rsidP="00C12D3A">
            <w:pPr>
              <w:pStyle w:val="NoSpacing"/>
              <w:rPr>
                <w:rFonts w:ascii="Arial" w:hAnsi="Arial" w:cs="Arial"/>
              </w:rPr>
            </w:pPr>
          </w:p>
        </w:tc>
      </w:tr>
      <w:tr w:rsidR="0066695F" w:rsidRPr="0066695F" w14:paraId="44C1C532" w14:textId="77777777" w:rsidTr="00B70C63">
        <w:tc>
          <w:tcPr>
            <w:tcW w:w="2573" w:type="dxa"/>
            <w:vAlign w:val="center"/>
          </w:tcPr>
          <w:p w14:paraId="71247915" w14:textId="77777777" w:rsidR="0066695F" w:rsidRPr="0066695F" w:rsidRDefault="0066695F" w:rsidP="00C12D3A">
            <w:pPr>
              <w:pStyle w:val="NoSpacing"/>
              <w:rPr>
                <w:rFonts w:ascii="Arial" w:hAnsi="Arial" w:cs="Arial"/>
                <w:b/>
                <w:bCs/>
              </w:rPr>
            </w:pPr>
            <w:r w:rsidRPr="0066695F">
              <w:rPr>
                <w:rFonts w:ascii="Arial" w:hAnsi="Arial" w:cs="Arial"/>
              </w:rPr>
              <w:t>Piperacillin/tazobactam</w:t>
            </w:r>
          </w:p>
        </w:tc>
        <w:tc>
          <w:tcPr>
            <w:tcW w:w="1853" w:type="dxa"/>
            <w:vAlign w:val="center"/>
          </w:tcPr>
          <w:p w14:paraId="1F461E35" w14:textId="77777777" w:rsidR="0066695F" w:rsidRPr="0066695F" w:rsidRDefault="0066695F" w:rsidP="00C12D3A">
            <w:pPr>
              <w:pStyle w:val="NoSpacing"/>
              <w:rPr>
                <w:rFonts w:ascii="Arial" w:hAnsi="Arial" w:cs="Arial"/>
              </w:rPr>
            </w:pPr>
          </w:p>
        </w:tc>
        <w:tc>
          <w:tcPr>
            <w:tcW w:w="1853" w:type="dxa"/>
            <w:vAlign w:val="center"/>
          </w:tcPr>
          <w:p w14:paraId="6001893B" w14:textId="77777777" w:rsidR="0066695F" w:rsidRPr="0066695F" w:rsidRDefault="0066695F" w:rsidP="00C12D3A">
            <w:pPr>
              <w:pStyle w:val="NoSpacing"/>
              <w:rPr>
                <w:rFonts w:ascii="Arial" w:hAnsi="Arial" w:cs="Arial"/>
              </w:rPr>
            </w:pPr>
          </w:p>
        </w:tc>
        <w:tc>
          <w:tcPr>
            <w:tcW w:w="1853" w:type="dxa"/>
            <w:vAlign w:val="center"/>
          </w:tcPr>
          <w:p w14:paraId="35FA7C31" w14:textId="77777777" w:rsidR="0066695F" w:rsidRPr="0066695F" w:rsidRDefault="0066695F" w:rsidP="00C12D3A">
            <w:pPr>
              <w:pStyle w:val="NoSpacing"/>
              <w:rPr>
                <w:rFonts w:ascii="Arial" w:hAnsi="Arial" w:cs="Arial"/>
              </w:rPr>
            </w:pPr>
          </w:p>
        </w:tc>
        <w:tc>
          <w:tcPr>
            <w:tcW w:w="1854" w:type="dxa"/>
            <w:vAlign w:val="center"/>
          </w:tcPr>
          <w:p w14:paraId="657B42E2" w14:textId="77777777" w:rsidR="0066695F" w:rsidRPr="0066695F" w:rsidRDefault="0066695F" w:rsidP="00C12D3A">
            <w:pPr>
              <w:pStyle w:val="NoSpacing"/>
              <w:rPr>
                <w:rFonts w:ascii="Arial" w:hAnsi="Arial" w:cs="Arial"/>
              </w:rPr>
            </w:pPr>
          </w:p>
        </w:tc>
      </w:tr>
      <w:tr w:rsidR="0066695F" w:rsidRPr="0066695F" w14:paraId="3FA18A5E" w14:textId="77777777" w:rsidTr="00B70C63">
        <w:tc>
          <w:tcPr>
            <w:tcW w:w="2573" w:type="dxa"/>
            <w:vAlign w:val="center"/>
          </w:tcPr>
          <w:p w14:paraId="58B6FAFC" w14:textId="77777777" w:rsidR="0066695F" w:rsidRPr="0066695F" w:rsidRDefault="0066695F" w:rsidP="00C12D3A">
            <w:pPr>
              <w:pStyle w:val="NoSpacing"/>
              <w:rPr>
                <w:rFonts w:ascii="Arial" w:hAnsi="Arial" w:cs="Arial"/>
                <w:b/>
                <w:bCs/>
              </w:rPr>
            </w:pPr>
            <w:r w:rsidRPr="0066695F">
              <w:rPr>
                <w:rFonts w:ascii="Arial" w:hAnsi="Arial" w:cs="Arial"/>
              </w:rPr>
              <w:t>Ceftriaxone</w:t>
            </w:r>
          </w:p>
        </w:tc>
        <w:tc>
          <w:tcPr>
            <w:tcW w:w="1853" w:type="dxa"/>
            <w:vAlign w:val="center"/>
          </w:tcPr>
          <w:p w14:paraId="7EC77DFE" w14:textId="77777777" w:rsidR="0066695F" w:rsidRPr="0066695F" w:rsidRDefault="0066695F" w:rsidP="00C12D3A">
            <w:pPr>
              <w:pStyle w:val="NoSpacing"/>
              <w:rPr>
                <w:rFonts w:ascii="Arial" w:hAnsi="Arial" w:cs="Arial"/>
              </w:rPr>
            </w:pPr>
          </w:p>
        </w:tc>
        <w:tc>
          <w:tcPr>
            <w:tcW w:w="1853" w:type="dxa"/>
            <w:vAlign w:val="center"/>
          </w:tcPr>
          <w:p w14:paraId="4639816B" w14:textId="77777777" w:rsidR="0066695F" w:rsidRPr="0066695F" w:rsidRDefault="0066695F" w:rsidP="00C12D3A">
            <w:pPr>
              <w:pStyle w:val="NoSpacing"/>
              <w:rPr>
                <w:rFonts w:ascii="Arial" w:hAnsi="Arial" w:cs="Arial"/>
              </w:rPr>
            </w:pPr>
          </w:p>
        </w:tc>
        <w:tc>
          <w:tcPr>
            <w:tcW w:w="1853" w:type="dxa"/>
            <w:vAlign w:val="center"/>
          </w:tcPr>
          <w:p w14:paraId="2726C15C" w14:textId="77777777" w:rsidR="0066695F" w:rsidRPr="0066695F" w:rsidRDefault="0066695F" w:rsidP="00C12D3A">
            <w:pPr>
              <w:pStyle w:val="NoSpacing"/>
              <w:rPr>
                <w:rFonts w:ascii="Arial" w:hAnsi="Arial" w:cs="Arial"/>
              </w:rPr>
            </w:pPr>
          </w:p>
        </w:tc>
        <w:tc>
          <w:tcPr>
            <w:tcW w:w="1854" w:type="dxa"/>
            <w:vAlign w:val="center"/>
          </w:tcPr>
          <w:p w14:paraId="14D4B7F2" w14:textId="77777777" w:rsidR="0066695F" w:rsidRPr="0066695F" w:rsidRDefault="0066695F" w:rsidP="00C12D3A">
            <w:pPr>
              <w:pStyle w:val="NoSpacing"/>
              <w:rPr>
                <w:rFonts w:ascii="Arial" w:hAnsi="Arial" w:cs="Arial"/>
              </w:rPr>
            </w:pPr>
          </w:p>
        </w:tc>
      </w:tr>
    </w:tbl>
    <w:p w14:paraId="5F096B49" w14:textId="77777777" w:rsidR="0066695F" w:rsidRPr="0066695F" w:rsidRDefault="0066695F" w:rsidP="00C12D3A">
      <w:pPr>
        <w:spacing w:before="0" w:after="0" w:line="240" w:lineRule="auto"/>
        <w:rPr>
          <w:rFonts w:eastAsia="Calibri" w:cs="Arial"/>
          <w:color w:val="auto"/>
          <w:kern w:val="0"/>
          <w:szCs w:val="22"/>
          <w14:ligatures w14:val="none"/>
        </w:rPr>
      </w:pPr>
    </w:p>
    <w:p w14:paraId="12435F87" w14:textId="77777777" w:rsidR="0066695F" w:rsidRPr="0066695F" w:rsidRDefault="0066695F" w:rsidP="00C12D3A">
      <w:pPr>
        <w:pStyle w:val="NoSpacing"/>
        <w:rPr>
          <w:rFonts w:ascii="Arial" w:hAnsi="Arial" w:cs="Arial"/>
        </w:rPr>
      </w:pPr>
      <w:r w:rsidRPr="0066695F">
        <w:rPr>
          <w:rFonts w:ascii="Arial" w:hAnsi="Arial" w:cs="Arial"/>
        </w:rPr>
        <w:t xml:space="preserve">Normally, the counts of antimicrobial days for FacWideIN should be </w:t>
      </w:r>
      <w:r w:rsidRPr="00D61984">
        <w:rPr>
          <w:rFonts w:ascii="Arial" w:hAnsi="Arial" w:cs="Arial"/>
          <w:b/>
          <w:bCs/>
        </w:rPr>
        <w:t>less than or equal to</w:t>
      </w:r>
      <w:r w:rsidRPr="0066695F">
        <w:rPr>
          <w:rFonts w:ascii="Arial" w:hAnsi="Arial" w:cs="Arial"/>
        </w:rPr>
        <w:t xml:space="preserve"> the sum of antimicrobial days across all inpatient locations. </w:t>
      </w:r>
    </w:p>
    <w:p w14:paraId="3DB47F02" w14:textId="77777777" w:rsidR="0066695F" w:rsidRPr="0066695F" w:rsidRDefault="0066695F" w:rsidP="002C32EB">
      <w:pPr>
        <w:pStyle w:val="NoSpacing"/>
        <w:rPr>
          <w:rFonts w:ascii="Arial" w:hAnsi="Arial" w:cs="Arial"/>
        </w:rPr>
      </w:pPr>
    </w:p>
    <w:p w14:paraId="507935B5" w14:textId="77777777" w:rsidR="0066695F" w:rsidRPr="0066695F" w:rsidRDefault="0066695F" w:rsidP="00C12D3A">
      <w:pPr>
        <w:pStyle w:val="NoSpacing"/>
        <w:rPr>
          <w:rFonts w:ascii="Arial" w:hAnsi="Arial" w:cs="Arial"/>
        </w:rPr>
      </w:pPr>
      <w:r w:rsidRPr="0066695F">
        <w:rPr>
          <w:rFonts w:ascii="Arial" w:hAnsi="Arial" w:cs="Arial"/>
        </w:rPr>
        <w:t xml:space="preserve">If your data </w:t>
      </w:r>
      <w:proofErr w:type="gramStart"/>
      <w:r w:rsidRPr="0066695F">
        <w:rPr>
          <w:rFonts w:ascii="Arial" w:hAnsi="Arial" w:cs="Arial"/>
        </w:rPr>
        <w:t>follow</w:t>
      </w:r>
      <w:proofErr w:type="gramEnd"/>
      <w:r w:rsidRPr="0066695F">
        <w:rPr>
          <w:rFonts w:ascii="Arial" w:hAnsi="Arial" w:cs="Arial"/>
        </w:rPr>
        <w:t xml:space="preserve"> this pattern, move to the section for Aggregating </w:t>
      </w:r>
      <w:proofErr w:type="gramStart"/>
      <w:r w:rsidRPr="0066695F">
        <w:rPr>
          <w:rFonts w:ascii="Arial" w:hAnsi="Arial" w:cs="Arial"/>
        </w:rPr>
        <w:t>days</w:t>
      </w:r>
      <w:proofErr w:type="gramEnd"/>
      <w:r w:rsidRPr="0066695F">
        <w:rPr>
          <w:rFonts w:ascii="Arial" w:hAnsi="Arial" w:cs="Arial"/>
        </w:rPr>
        <w:t xml:space="preserve"> present below. </w:t>
      </w:r>
    </w:p>
    <w:p w14:paraId="550E539E" w14:textId="77777777" w:rsidR="0066695F" w:rsidRPr="0066695F" w:rsidRDefault="0066695F" w:rsidP="002C32EB">
      <w:pPr>
        <w:pStyle w:val="NoSpacing"/>
        <w:rPr>
          <w:rFonts w:ascii="Arial" w:hAnsi="Arial" w:cs="Arial"/>
        </w:rPr>
      </w:pPr>
    </w:p>
    <w:p w14:paraId="21AABFB3" w14:textId="77777777" w:rsidR="0066695F" w:rsidRPr="0066695F" w:rsidRDefault="0066695F" w:rsidP="00C12D3A">
      <w:pPr>
        <w:pStyle w:val="NoSpacing"/>
        <w:rPr>
          <w:rFonts w:ascii="Arial" w:hAnsi="Arial" w:cs="Arial"/>
        </w:rPr>
      </w:pPr>
      <w:r w:rsidRPr="0066695F">
        <w:rPr>
          <w:rFonts w:ascii="Arial" w:hAnsi="Arial" w:cs="Arial"/>
        </w:rPr>
        <w:t xml:space="preserve">If you see the counts for FacWideIN are </w:t>
      </w:r>
      <w:r w:rsidRPr="00D61984">
        <w:rPr>
          <w:rFonts w:ascii="Arial" w:hAnsi="Arial" w:cs="Arial"/>
          <w:b/>
          <w:bCs/>
        </w:rPr>
        <w:t>higher</w:t>
      </w:r>
      <w:r w:rsidRPr="0066695F">
        <w:rPr>
          <w:rFonts w:ascii="Arial" w:hAnsi="Arial" w:cs="Arial"/>
        </w:rPr>
        <w:t xml:space="preserve"> than the sum of all inpatient locations in the data you populated above, possible errors are listed below to aid in your investigation:</w:t>
      </w:r>
    </w:p>
    <w:p w14:paraId="2E88EDB3" w14:textId="77777777" w:rsidR="0066695F" w:rsidRPr="0066695F" w:rsidRDefault="0066695F" w:rsidP="002C32EB">
      <w:pPr>
        <w:pStyle w:val="NoSpacing"/>
        <w:rPr>
          <w:rFonts w:ascii="Arial" w:hAnsi="Arial" w:cs="Arial"/>
        </w:rPr>
      </w:pPr>
    </w:p>
    <w:p w14:paraId="5613C44B" w14:textId="77777777" w:rsidR="0066695F" w:rsidRPr="0066695F" w:rsidRDefault="0066695F" w:rsidP="00C12D3A">
      <w:pPr>
        <w:pStyle w:val="NoSpacing"/>
        <w:numPr>
          <w:ilvl w:val="0"/>
          <w:numId w:val="22"/>
        </w:numPr>
        <w:rPr>
          <w:rFonts w:ascii="Arial" w:hAnsi="Arial" w:cs="Arial"/>
        </w:rPr>
      </w:pPr>
      <w:r w:rsidRPr="0066695F">
        <w:rPr>
          <w:rFonts w:ascii="Arial" w:hAnsi="Arial" w:cs="Arial"/>
        </w:rPr>
        <w:t xml:space="preserve">Vendor system is </w:t>
      </w:r>
      <w:r w:rsidRPr="00D61984">
        <w:rPr>
          <w:rFonts w:ascii="Arial" w:hAnsi="Arial" w:cs="Arial"/>
          <w:b/>
          <w:bCs/>
        </w:rPr>
        <w:t>incorrectly</w:t>
      </w:r>
      <w:r w:rsidRPr="0066695F">
        <w:rPr>
          <w:rFonts w:ascii="Arial" w:hAnsi="Arial" w:cs="Arial"/>
        </w:rPr>
        <w:t xml:space="preserve"> including outpatient locations (for example, ED or 24-hour observation unit) in the FacWideIN calculations.</w:t>
      </w:r>
    </w:p>
    <w:p w14:paraId="4F5E4A09" w14:textId="77777777" w:rsidR="0066695F" w:rsidRPr="0066695F" w:rsidRDefault="0066695F" w:rsidP="00C12D3A">
      <w:pPr>
        <w:pStyle w:val="NoSpacing"/>
        <w:rPr>
          <w:rFonts w:ascii="Arial" w:hAnsi="Arial" w:cs="Arial"/>
        </w:rPr>
      </w:pPr>
    </w:p>
    <w:p w14:paraId="6F4B1E79" w14:textId="77777777" w:rsidR="0066695F" w:rsidRPr="0066695F" w:rsidRDefault="0066695F" w:rsidP="00C12D3A">
      <w:pPr>
        <w:pStyle w:val="NoSpacing"/>
        <w:numPr>
          <w:ilvl w:val="0"/>
          <w:numId w:val="22"/>
        </w:numPr>
        <w:ind w:left="360" w:firstLine="0"/>
        <w:rPr>
          <w:rFonts w:ascii="Arial" w:hAnsi="Arial" w:cs="Arial"/>
        </w:rPr>
      </w:pPr>
      <w:r w:rsidRPr="0066695F">
        <w:rPr>
          <w:rFonts w:ascii="Arial" w:hAnsi="Arial" w:cs="Arial"/>
        </w:rPr>
        <w:t xml:space="preserve">Missing a reportable inpatient location when </w:t>
      </w:r>
      <w:proofErr w:type="gramStart"/>
      <w:r w:rsidRPr="0066695F">
        <w:rPr>
          <w:rFonts w:ascii="Arial" w:hAnsi="Arial" w:cs="Arial"/>
        </w:rPr>
        <w:t>doing</w:t>
      </w:r>
      <w:proofErr w:type="gramEnd"/>
      <w:r w:rsidRPr="0066695F">
        <w:rPr>
          <w:rFonts w:ascii="Arial" w:hAnsi="Arial" w:cs="Arial"/>
        </w:rPr>
        <w:t xml:space="preserve"> the location-specific aggregations. </w:t>
      </w:r>
    </w:p>
    <w:p w14:paraId="2FDCF4AE" w14:textId="77777777" w:rsidR="0066695F" w:rsidRPr="0066695F" w:rsidRDefault="0066695F" w:rsidP="00C12D3A">
      <w:pPr>
        <w:pStyle w:val="NoSpacing"/>
        <w:ind w:left="360"/>
        <w:rPr>
          <w:rFonts w:ascii="Arial" w:hAnsi="Arial" w:cs="Arial"/>
        </w:rPr>
      </w:pPr>
    </w:p>
    <w:p w14:paraId="7D7C8E5C" w14:textId="42035E08" w:rsidR="0066695F" w:rsidRPr="002C32EB" w:rsidRDefault="0066695F" w:rsidP="00C12D3A">
      <w:pPr>
        <w:pStyle w:val="NoSpacing"/>
        <w:numPr>
          <w:ilvl w:val="0"/>
          <w:numId w:val="22"/>
        </w:numPr>
        <w:rPr>
          <w:rFonts w:ascii="Arial" w:hAnsi="Arial" w:cs="Arial"/>
        </w:rPr>
      </w:pPr>
      <w:r w:rsidRPr="0066695F">
        <w:rPr>
          <w:rFonts w:ascii="Arial" w:hAnsi="Arial" w:cs="Arial"/>
        </w:rPr>
        <w:t xml:space="preserve">For locations the vendor system is not reporting individually due to lack of accurate data capture, vendor system is </w:t>
      </w:r>
      <w:r w:rsidRPr="00D61984">
        <w:rPr>
          <w:rFonts w:ascii="Arial" w:hAnsi="Arial" w:cs="Arial"/>
          <w:b/>
          <w:bCs/>
        </w:rPr>
        <w:t>incorrectly</w:t>
      </w:r>
      <w:r w:rsidRPr="0066695F">
        <w:rPr>
          <w:rFonts w:ascii="Arial" w:hAnsi="Arial" w:cs="Arial"/>
        </w:rPr>
        <w:t xml:space="preserve"> including them in the FacWideIN calculations.</w:t>
      </w:r>
    </w:p>
    <w:p w14:paraId="5BA20B82" w14:textId="77777777" w:rsidR="0066695F" w:rsidRPr="0066695F" w:rsidRDefault="0066695F" w:rsidP="00C12D3A">
      <w:pPr>
        <w:pStyle w:val="NoSpacing"/>
        <w:rPr>
          <w:rFonts w:ascii="Arial" w:hAnsi="Arial" w:cs="Arial"/>
        </w:rPr>
      </w:pPr>
    </w:p>
    <w:p w14:paraId="72A06286" w14:textId="3E8ACE04" w:rsidR="0066695F" w:rsidRPr="00B81201" w:rsidRDefault="0066695F" w:rsidP="00C12D3A">
      <w:pPr>
        <w:pStyle w:val="Heading4"/>
        <w:spacing w:before="0" w:after="0" w:line="240" w:lineRule="auto"/>
        <w:rPr>
          <w:rFonts w:cs="Arial"/>
          <w:b/>
          <w:bCs/>
          <w:i w:val="0"/>
          <w:iCs w:val="0"/>
          <w:sz w:val="26"/>
          <w:szCs w:val="26"/>
        </w:rPr>
      </w:pPr>
      <w:r w:rsidRPr="00B81201">
        <w:rPr>
          <w:b/>
          <w:i w:val="0"/>
          <w:iCs w:val="0"/>
          <w:sz w:val="26"/>
        </w:rPr>
        <w:t>Aggregating</w:t>
      </w:r>
      <w:r w:rsidRPr="00B81201">
        <w:rPr>
          <w:rFonts w:cs="Arial"/>
          <w:i w:val="0"/>
          <w:iCs w:val="0"/>
          <w:szCs w:val="22"/>
        </w:rPr>
        <w:t xml:space="preserve"> </w:t>
      </w:r>
      <w:r w:rsidRPr="00B81201">
        <w:rPr>
          <w:rFonts w:cs="Arial"/>
          <w:b/>
          <w:bCs/>
          <w:i w:val="0"/>
          <w:iCs w:val="0"/>
          <w:sz w:val="26"/>
          <w:szCs w:val="26"/>
        </w:rPr>
        <w:t>days present</w:t>
      </w:r>
    </w:p>
    <w:p w14:paraId="2708B611" w14:textId="77777777" w:rsidR="00362E70" w:rsidRDefault="00362E70" w:rsidP="00C12D3A">
      <w:pPr>
        <w:pStyle w:val="NoSpacing"/>
        <w:rPr>
          <w:rFonts w:ascii="Arial" w:hAnsi="Arial" w:cs="Arial"/>
        </w:rPr>
      </w:pPr>
    </w:p>
    <w:p w14:paraId="0DF0A8E4" w14:textId="4601CDEA" w:rsidR="0066695F" w:rsidRPr="0066695F" w:rsidRDefault="0066695F" w:rsidP="00C12D3A">
      <w:pPr>
        <w:pStyle w:val="NoSpacing"/>
        <w:rPr>
          <w:rFonts w:ascii="Arial" w:hAnsi="Arial" w:cs="Arial"/>
        </w:rPr>
      </w:pPr>
      <w:r w:rsidRPr="0066695F">
        <w:rPr>
          <w:rFonts w:ascii="Arial" w:hAnsi="Arial" w:cs="Arial"/>
        </w:rPr>
        <w:t xml:space="preserve">This section confirms that the software is correctly counting patients in the denominator for days present. It’s important to ensure days present are counted correctly as it is the denominator used in rate reports and is also used in </w:t>
      </w:r>
      <w:r w:rsidR="00132D4C" w:rsidRPr="0066695F">
        <w:rPr>
          <w:rFonts w:ascii="Arial" w:hAnsi="Arial" w:cs="Arial"/>
        </w:rPr>
        <w:t>risk</w:t>
      </w:r>
      <w:r w:rsidRPr="0066695F">
        <w:rPr>
          <w:rFonts w:ascii="Arial" w:hAnsi="Arial" w:cs="Arial"/>
        </w:rPr>
        <w:t xml:space="preserve"> adjustment for your facility’s SAAR calculations. First, you’ll review the days present data at the individual location-level then move to the FacWideIN level.</w:t>
      </w:r>
    </w:p>
    <w:p w14:paraId="648BF031" w14:textId="77777777" w:rsidR="0066695F" w:rsidRPr="0066695F" w:rsidRDefault="0066695F" w:rsidP="002C32EB">
      <w:pPr>
        <w:pStyle w:val="NoSpacing"/>
        <w:rPr>
          <w:rFonts w:ascii="Arial" w:hAnsi="Arial" w:cs="Arial"/>
        </w:rPr>
      </w:pPr>
    </w:p>
    <w:p w14:paraId="678A7EEF" w14:textId="77777777" w:rsidR="0066695F" w:rsidRPr="0066695F" w:rsidRDefault="0066695F" w:rsidP="00C12D3A">
      <w:pPr>
        <w:pStyle w:val="NoSpacing"/>
        <w:rPr>
          <w:rFonts w:ascii="Arial" w:hAnsi="Arial" w:cs="Arial"/>
        </w:rPr>
      </w:pPr>
      <w:r w:rsidRPr="0066695F">
        <w:rPr>
          <w:rFonts w:ascii="Arial" w:hAnsi="Arial" w:cs="Arial"/>
          <w:b/>
          <w:bCs/>
        </w:rPr>
        <w:t>Note</w:t>
      </w:r>
      <w:r w:rsidRPr="000B0909">
        <w:rPr>
          <w:rFonts w:ascii="Arial" w:hAnsi="Arial" w:cs="Arial"/>
        </w:rPr>
        <w:t>:</w:t>
      </w:r>
      <w:r w:rsidRPr="0066695F">
        <w:rPr>
          <w:rFonts w:ascii="Arial" w:hAnsi="Arial" w:cs="Arial"/>
        </w:rPr>
        <w:t xml:space="preserve"> NHSN defines days present as the aggregate number of patients housed in a patient care location (or all inpatient units for FacWideIN counts) at any time throughout a calendar day during a </w:t>
      </w:r>
      <w:r w:rsidRPr="0066695F">
        <w:rPr>
          <w:rFonts w:ascii="Arial" w:hAnsi="Arial" w:cs="Arial"/>
        </w:rPr>
        <w:lastRenderedPageBreak/>
        <w:t xml:space="preserve">month. Days present </w:t>
      </w:r>
      <w:proofErr w:type="gramStart"/>
      <w:r w:rsidRPr="0066695F">
        <w:rPr>
          <w:rFonts w:ascii="Arial" w:hAnsi="Arial" w:cs="Arial"/>
        </w:rPr>
        <w:t>is</w:t>
      </w:r>
      <w:proofErr w:type="gramEnd"/>
      <w:r w:rsidRPr="0066695F">
        <w:rPr>
          <w:rFonts w:ascii="Arial" w:hAnsi="Arial" w:cs="Arial"/>
        </w:rPr>
        <w:t xml:space="preserve"> </w:t>
      </w:r>
      <w:r w:rsidRPr="0066695F">
        <w:rPr>
          <w:rFonts w:ascii="Arial" w:hAnsi="Arial" w:cs="Arial"/>
          <w:b/>
          <w:bCs/>
          <w:u w:val="single"/>
        </w:rPr>
        <w:t>not</w:t>
      </w:r>
      <w:r w:rsidRPr="0066695F">
        <w:rPr>
          <w:rFonts w:ascii="Arial" w:hAnsi="Arial" w:cs="Arial"/>
        </w:rPr>
        <w:t xml:space="preserve"> the same as patient days, which NHSN defines as the aggregate number of patients housed in a patient care location during the census count taken once daily. See the </w:t>
      </w:r>
      <w:hyperlink r:id="rId30" w:history="1">
        <w:r w:rsidRPr="006E74DF">
          <w:rPr>
            <w:rStyle w:val="Hyperlink"/>
            <w:rFonts w:ascii="Arial" w:hAnsi="Arial" w:cs="Arial"/>
            <w:color w:val="2A6CA8" w:themeColor="background2" w:themeShade="80"/>
          </w:rPr>
          <w:t>AUR Module Protocol</w:t>
        </w:r>
      </w:hyperlink>
      <w:r w:rsidRPr="0066695F">
        <w:rPr>
          <w:rFonts w:ascii="Arial" w:hAnsi="Arial" w:cs="Arial"/>
        </w:rPr>
        <w:t xml:space="preserve"> for more details.</w:t>
      </w:r>
    </w:p>
    <w:p w14:paraId="47348FAF" w14:textId="77777777" w:rsidR="0066695F" w:rsidRPr="0066695F" w:rsidRDefault="0066695F" w:rsidP="002C32EB">
      <w:pPr>
        <w:pStyle w:val="NoSpacing"/>
        <w:rPr>
          <w:rFonts w:ascii="Arial" w:hAnsi="Arial" w:cs="Arial"/>
        </w:rPr>
      </w:pPr>
    </w:p>
    <w:p w14:paraId="467905E4" w14:textId="77777777" w:rsidR="0066695F" w:rsidRPr="0066695F" w:rsidRDefault="0066695F" w:rsidP="00C12D3A">
      <w:pPr>
        <w:pStyle w:val="NoSpacing"/>
        <w:numPr>
          <w:ilvl w:val="0"/>
          <w:numId w:val="14"/>
        </w:numPr>
        <w:tabs>
          <w:tab w:val="left" w:pos="720"/>
        </w:tabs>
        <w:ind w:left="720"/>
        <w:rPr>
          <w:rFonts w:ascii="Arial" w:hAnsi="Arial" w:cs="Arial"/>
        </w:rPr>
      </w:pPr>
      <w:r w:rsidRPr="0066695F">
        <w:rPr>
          <w:rFonts w:ascii="Arial" w:hAnsi="Arial" w:cs="Arial"/>
        </w:rPr>
        <w:t>On the days of admission, transfer or discharge, confirm days present were attributed to that patient care location even though the patient was only there for a partial day.</w:t>
      </w:r>
    </w:p>
    <w:p w14:paraId="2BE3C316" w14:textId="77777777" w:rsidR="0066695F" w:rsidRPr="0066695F" w:rsidRDefault="0066695F" w:rsidP="002C32EB">
      <w:pPr>
        <w:pStyle w:val="NoSpacing"/>
        <w:rPr>
          <w:rFonts w:ascii="Arial" w:hAnsi="Arial" w:cs="Arial"/>
        </w:rPr>
      </w:pPr>
    </w:p>
    <w:p w14:paraId="5BBFF2DD" w14:textId="77777777" w:rsidR="0066695F" w:rsidRPr="0066695F" w:rsidRDefault="0066695F" w:rsidP="00C12D3A">
      <w:pPr>
        <w:pStyle w:val="NoSpacing"/>
        <w:ind w:left="720"/>
        <w:rPr>
          <w:rFonts w:ascii="Arial" w:hAnsi="Arial" w:cs="Arial"/>
        </w:rPr>
      </w:pPr>
      <w:r w:rsidRPr="0066695F">
        <w:rPr>
          <w:rFonts w:ascii="Arial" w:hAnsi="Arial" w:cs="Arial"/>
          <w:b/>
          <w:bCs/>
        </w:rPr>
        <w:t>Location-level methodology</w:t>
      </w:r>
      <w:r w:rsidRPr="000B0909">
        <w:rPr>
          <w:rFonts w:ascii="Arial" w:hAnsi="Arial" w:cs="Arial"/>
        </w:rPr>
        <w:t>:</w:t>
      </w:r>
      <w:r w:rsidRPr="0066695F">
        <w:rPr>
          <w:rFonts w:ascii="Arial" w:hAnsi="Arial" w:cs="Arial"/>
        </w:rPr>
        <w:t xml:space="preserve"> Choose three patient care locations. Confirm appropriate aggregation of days present for each location. List the manual aggregation of days present for each location and the aggregation produced by the vendor software. The values in the two columns should be the same.</w:t>
      </w:r>
    </w:p>
    <w:p w14:paraId="6DD4FA40" w14:textId="77777777" w:rsidR="0066695F" w:rsidRPr="0066695F" w:rsidRDefault="0066695F" w:rsidP="002C32EB">
      <w:pPr>
        <w:pStyle w:val="NoSpacing"/>
        <w:rPr>
          <w:rFonts w:ascii="Arial" w:hAnsi="Arial" w:cs="Arial"/>
        </w:rPr>
      </w:pPr>
    </w:p>
    <w:p w14:paraId="1E914DA8" w14:textId="77777777" w:rsidR="0066695F" w:rsidRPr="0066695F" w:rsidRDefault="0066695F" w:rsidP="00C12D3A">
      <w:pPr>
        <w:pStyle w:val="NoSpacing"/>
        <w:ind w:left="720"/>
        <w:rPr>
          <w:rFonts w:ascii="Arial" w:hAnsi="Arial" w:cs="Arial"/>
        </w:rPr>
      </w:pPr>
      <w:r w:rsidRPr="0066695F">
        <w:rPr>
          <w:rFonts w:ascii="Arial" w:hAnsi="Arial" w:cs="Arial"/>
        </w:rPr>
        <w:t>Consider using the table below, or something similar in the program of your choice, to compare your aggregations.</w:t>
      </w:r>
    </w:p>
    <w:p w14:paraId="475CE8CB" w14:textId="77777777" w:rsidR="0066695F" w:rsidRPr="0066695F" w:rsidRDefault="0066695F" w:rsidP="002C32EB">
      <w:pPr>
        <w:pStyle w:val="NoSpacing"/>
        <w:rPr>
          <w:rFonts w:ascii="Arial" w:hAnsi="Arial" w:cs="Arial"/>
        </w:rPr>
      </w:pPr>
    </w:p>
    <w:p w14:paraId="6B155AB3" w14:textId="525B8784" w:rsidR="00A32F81" w:rsidRDefault="0066695F" w:rsidP="00B70C63">
      <w:pPr>
        <w:pStyle w:val="BulletsCDC"/>
        <w:numPr>
          <w:ilvl w:val="0"/>
          <w:numId w:val="0"/>
        </w:numPr>
        <w:spacing w:after="0" w:line="240" w:lineRule="auto"/>
        <w:ind w:right="0" w:firstLine="720"/>
        <w:rPr>
          <w:rFonts w:cs="Arial"/>
          <w:b/>
          <w:bCs/>
          <w:szCs w:val="22"/>
        </w:rPr>
      </w:pPr>
      <w:r w:rsidRPr="0066695F">
        <w:rPr>
          <w:rFonts w:cs="Arial"/>
          <w:b/>
          <w:bCs/>
          <w:szCs w:val="22"/>
        </w:rPr>
        <w:t>Month, Year</w:t>
      </w:r>
      <w:r w:rsidRPr="000B0909">
        <w:rPr>
          <w:rFonts w:cs="Arial"/>
          <w:szCs w:val="22"/>
        </w:rPr>
        <w:t>:</w:t>
      </w:r>
    </w:p>
    <w:tbl>
      <w:tblPr>
        <w:tblStyle w:val="TableGrid"/>
        <w:tblW w:w="9270" w:type="dxa"/>
        <w:tblInd w:w="715" w:type="dxa"/>
        <w:tblLook w:val="04A0" w:firstRow="1" w:lastRow="0" w:firstColumn="1" w:lastColumn="0" w:noHBand="0" w:noVBand="1"/>
      </w:tblPr>
      <w:tblGrid>
        <w:gridCol w:w="3090"/>
        <w:gridCol w:w="3090"/>
        <w:gridCol w:w="3090"/>
      </w:tblGrid>
      <w:tr w:rsidR="00B81201" w:rsidRPr="00B81201" w14:paraId="59F7C418" w14:textId="77777777" w:rsidTr="00B70C63">
        <w:tc>
          <w:tcPr>
            <w:tcW w:w="3090" w:type="dxa"/>
          </w:tcPr>
          <w:p w14:paraId="363AD5F0" w14:textId="77777777" w:rsidR="00B81201" w:rsidRPr="00B81201" w:rsidRDefault="00B81201" w:rsidP="00C12D3A">
            <w:pPr>
              <w:pStyle w:val="NoSpacing"/>
              <w:rPr>
                <w:rFonts w:ascii="Arial" w:hAnsi="Arial" w:cs="Arial"/>
                <w:b/>
                <w:bCs/>
              </w:rPr>
            </w:pPr>
            <w:r w:rsidRPr="00B81201">
              <w:rPr>
                <w:rFonts w:ascii="Arial" w:hAnsi="Arial" w:cs="Arial"/>
                <w:b/>
                <w:bCs/>
              </w:rPr>
              <w:t>Location</w:t>
            </w:r>
          </w:p>
        </w:tc>
        <w:tc>
          <w:tcPr>
            <w:tcW w:w="3090" w:type="dxa"/>
          </w:tcPr>
          <w:p w14:paraId="0A2E1CFA" w14:textId="77777777" w:rsidR="00B81201" w:rsidRPr="00B81201" w:rsidRDefault="00B81201" w:rsidP="00C12D3A">
            <w:pPr>
              <w:pStyle w:val="NoSpacing"/>
              <w:rPr>
                <w:rFonts w:ascii="Arial" w:hAnsi="Arial" w:cs="Arial"/>
                <w:b/>
                <w:bCs/>
              </w:rPr>
            </w:pPr>
            <w:r w:rsidRPr="00B81201">
              <w:rPr>
                <w:rFonts w:ascii="Arial" w:hAnsi="Arial" w:cs="Arial"/>
                <w:b/>
                <w:bCs/>
              </w:rPr>
              <w:t>Manual Aggregation of Days Present</w:t>
            </w:r>
          </w:p>
        </w:tc>
        <w:tc>
          <w:tcPr>
            <w:tcW w:w="3090" w:type="dxa"/>
          </w:tcPr>
          <w:p w14:paraId="261A4C8F" w14:textId="77777777" w:rsidR="00B81201" w:rsidRPr="00B81201" w:rsidRDefault="00B81201" w:rsidP="00C12D3A">
            <w:pPr>
              <w:pStyle w:val="NoSpacing"/>
              <w:rPr>
                <w:rFonts w:ascii="Arial" w:hAnsi="Arial" w:cs="Arial"/>
                <w:b/>
                <w:bCs/>
              </w:rPr>
            </w:pPr>
            <w:r w:rsidRPr="00B81201">
              <w:rPr>
                <w:rFonts w:ascii="Arial" w:hAnsi="Arial" w:cs="Arial"/>
                <w:b/>
                <w:bCs/>
              </w:rPr>
              <w:t>Vendor Software Aggregation of Days Present</w:t>
            </w:r>
          </w:p>
        </w:tc>
      </w:tr>
      <w:tr w:rsidR="00B81201" w:rsidRPr="00B81201" w14:paraId="2AD7AF87" w14:textId="77777777" w:rsidTr="00B70C63">
        <w:tc>
          <w:tcPr>
            <w:tcW w:w="3090" w:type="dxa"/>
          </w:tcPr>
          <w:p w14:paraId="112AA4C3" w14:textId="77777777" w:rsidR="00B81201" w:rsidRPr="00B81201" w:rsidRDefault="00B81201" w:rsidP="00C12D3A">
            <w:pPr>
              <w:pStyle w:val="NoSpacing"/>
              <w:rPr>
                <w:rFonts w:ascii="Arial" w:hAnsi="Arial" w:cs="Arial"/>
              </w:rPr>
            </w:pPr>
          </w:p>
        </w:tc>
        <w:tc>
          <w:tcPr>
            <w:tcW w:w="3090" w:type="dxa"/>
          </w:tcPr>
          <w:p w14:paraId="2BFF90BA" w14:textId="77777777" w:rsidR="00B81201" w:rsidRPr="00B81201" w:rsidRDefault="00B81201" w:rsidP="00C12D3A">
            <w:pPr>
              <w:pStyle w:val="NoSpacing"/>
              <w:rPr>
                <w:rFonts w:ascii="Arial" w:hAnsi="Arial" w:cs="Arial"/>
              </w:rPr>
            </w:pPr>
          </w:p>
        </w:tc>
        <w:tc>
          <w:tcPr>
            <w:tcW w:w="3090" w:type="dxa"/>
          </w:tcPr>
          <w:p w14:paraId="065FF8C7" w14:textId="77777777" w:rsidR="00B81201" w:rsidRPr="00B81201" w:rsidRDefault="00B81201" w:rsidP="00C12D3A">
            <w:pPr>
              <w:pStyle w:val="NoSpacing"/>
              <w:rPr>
                <w:rFonts w:ascii="Arial" w:hAnsi="Arial" w:cs="Arial"/>
              </w:rPr>
            </w:pPr>
          </w:p>
        </w:tc>
      </w:tr>
      <w:tr w:rsidR="00B81201" w:rsidRPr="00B81201" w14:paraId="10DDC1FC" w14:textId="77777777" w:rsidTr="00B70C63">
        <w:tc>
          <w:tcPr>
            <w:tcW w:w="3090" w:type="dxa"/>
          </w:tcPr>
          <w:p w14:paraId="2F75A197" w14:textId="77777777" w:rsidR="00B81201" w:rsidRPr="00B81201" w:rsidRDefault="00B81201" w:rsidP="00C12D3A">
            <w:pPr>
              <w:pStyle w:val="NoSpacing"/>
              <w:rPr>
                <w:rFonts w:ascii="Arial" w:hAnsi="Arial" w:cs="Arial"/>
              </w:rPr>
            </w:pPr>
          </w:p>
        </w:tc>
        <w:tc>
          <w:tcPr>
            <w:tcW w:w="3090" w:type="dxa"/>
          </w:tcPr>
          <w:p w14:paraId="4EC4E5A3" w14:textId="77777777" w:rsidR="00B81201" w:rsidRPr="00B81201" w:rsidRDefault="00B81201" w:rsidP="00C12D3A">
            <w:pPr>
              <w:pStyle w:val="NoSpacing"/>
              <w:rPr>
                <w:rFonts w:ascii="Arial" w:hAnsi="Arial" w:cs="Arial"/>
              </w:rPr>
            </w:pPr>
          </w:p>
        </w:tc>
        <w:tc>
          <w:tcPr>
            <w:tcW w:w="3090" w:type="dxa"/>
          </w:tcPr>
          <w:p w14:paraId="72AA7880" w14:textId="77777777" w:rsidR="00B81201" w:rsidRPr="00B81201" w:rsidRDefault="00B81201" w:rsidP="00C12D3A">
            <w:pPr>
              <w:pStyle w:val="NoSpacing"/>
              <w:rPr>
                <w:rFonts w:ascii="Arial" w:hAnsi="Arial" w:cs="Arial"/>
              </w:rPr>
            </w:pPr>
          </w:p>
        </w:tc>
      </w:tr>
      <w:tr w:rsidR="00B81201" w:rsidRPr="00B81201" w14:paraId="0F40F37C" w14:textId="77777777" w:rsidTr="00B70C63">
        <w:tc>
          <w:tcPr>
            <w:tcW w:w="3090" w:type="dxa"/>
          </w:tcPr>
          <w:p w14:paraId="2667A136" w14:textId="77777777" w:rsidR="00B81201" w:rsidRPr="00B81201" w:rsidRDefault="00B81201" w:rsidP="00C12D3A">
            <w:pPr>
              <w:pStyle w:val="NoSpacing"/>
              <w:rPr>
                <w:rFonts w:ascii="Arial" w:hAnsi="Arial" w:cs="Arial"/>
              </w:rPr>
            </w:pPr>
          </w:p>
        </w:tc>
        <w:tc>
          <w:tcPr>
            <w:tcW w:w="3090" w:type="dxa"/>
          </w:tcPr>
          <w:p w14:paraId="70A06516" w14:textId="77777777" w:rsidR="00B81201" w:rsidRPr="00B81201" w:rsidRDefault="00B81201" w:rsidP="00C12D3A">
            <w:pPr>
              <w:pStyle w:val="NoSpacing"/>
              <w:rPr>
                <w:rFonts w:ascii="Arial" w:hAnsi="Arial" w:cs="Arial"/>
              </w:rPr>
            </w:pPr>
          </w:p>
        </w:tc>
        <w:tc>
          <w:tcPr>
            <w:tcW w:w="3090" w:type="dxa"/>
          </w:tcPr>
          <w:p w14:paraId="54530057" w14:textId="77777777" w:rsidR="00B81201" w:rsidRPr="00B81201" w:rsidRDefault="00B81201" w:rsidP="00C12D3A">
            <w:pPr>
              <w:pStyle w:val="NoSpacing"/>
              <w:rPr>
                <w:rFonts w:ascii="Arial" w:hAnsi="Arial" w:cs="Arial"/>
              </w:rPr>
            </w:pPr>
          </w:p>
        </w:tc>
      </w:tr>
    </w:tbl>
    <w:p w14:paraId="426EF85D" w14:textId="77777777" w:rsidR="00B81201" w:rsidRDefault="00B81201" w:rsidP="00B70C63">
      <w:pPr>
        <w:pStyle w:val="BulletsCDC"/>
        <w:numPr>
          <w:ilvl w:val="0"/>
          <w:numId w:val="0"/>
        </w:numPr>
        <w:spacing w:after="0" w:line="240" w:lineRule="auto"/>
        <w:ind w:right="0" w:firstLine="720"/>
        <w:rPr>
          <w:rFonts w:cs="Arial"/>
          <w:szCs w:val="22"/>
        </w:rPr>
      </w:pPr>
    </w:p>
    <w:p w14:paraId="4D390CD0" w14:textId="735B358F" w:rsidR="00B81201" w:rsidRPr="00B81201" w:rsidRDefault="00B81201" w:rsidP="00C12D3A">
      <w:pPr>
        <w:pStyle w:val="NoSpacing"/>
        <w:numPr>
          <w:ilvl w:val="0"/>
          <w:numId w:val="14"/>
        </w:numPr>
        <w:tabs>
          <w:tab w:val="left" w:pos="990"/>
        </w:tabs>
        <w:ind w:left="720"/>
        <w:rPr>
          <w:rFonts w:ascii="Arial" w:hAnsi="Arial" w:cs="Arial"/>
        </w:rPr>
      </w:pPr>
      <w:r w:rsidRPr="00B81201">
        <w:rPr>
          <w:rFonts w:ascii="Arial" w:hAnsi="Arial" w:cs="Arial"/>
        </w:rPr>
        <w:t>Manually validate that the vendor software is correctly aggregating the days present within the given patient care locations.</w:t>
      </w:r>
    </w:p>
    <w:p w14:paraId="20AD6766" w14:textId="77777777" w:rsidR="00B81201" w:rsidRPr="00B81201" w:rsidRDefault="00B81201" w:rsidP="00C12D3A">
      <w:pPr>
        <w:pStyle w:val="NoSpacing"/>
        <w:ind w:left="720"/>
        <w:rPr>
          <w:rFonts w:ascii="Arial" w:hAnsi="Arial" w:cs="Arial"/>
        </w:rPr>
      </w:pPr>
    </w:p>
    <w:p w14:paraId="376473BF" w14:textId="4EF607C0" w:rsidR="00B81201" w:rsidRDefault="00B81201" w:rsidP="00C12D3A">
      <w:pPr>
        <w:pStyle w:val="NoSpacing"/>
        <w:ind w:left="720"/>
        <w:rPr>
          <w:rFonts w:ascii="Arial" w:hAnsi="Arial" w:cs="Arial"/>
        </w:rPr>
      </w:pPr>
      <w:r w:rsidRPr="00B81201">
        <w:rPr>
          <w:rFonts w:ascii="Arial" w:hAnsi="Arial" w:cs="Arial"/>
          <w:b/>
          <w:bCs/>
        </w:rPr>
        <w:t>FacWideIN methodology</w:t>
      </w:r>
      <w:r w:rsidRPr="000B0909">
        <w:rPr>
          <w:rFonts w:ascii="Arial" w:hAnsi="Arial" w:cs="Arial"/>
        </w:rPr>
        <w:t>:</w:t>
      </w:r>
      <w:r w:rsidRPr="00B81201">
        <w:rPr>
          <w:rFonts w:ascii="Arial" w:hAnsi="Arial" w:cs="Arial"/>
        </w:rPr>
        <w:t xml:space="preserve"> This section confirms that the software is correctly aggregating the days present reported for the FacWideIN record. </w:t>
      </w:r>
      <w:r w:rsidR="000F58FF">
        <w:rPr>
          <w:rFonts w:ascii="Arial" w:hAnsi="Arial" w:cs="Arial"/>
        </w:rPr>
        <w:t>The v</w:t>
      </w:r>
      <w:r w:rsidR="000F58FF" w:rsidRPr="00C111AB">
        <w:rPr>
          <w:rFonts w:ascii="Arial" w:hAnsi="Arial" w:cs="Arial"/>
        </w:rPr>
        <w:t>endor system’s FacWideIN logic should include all applicable inpatient locations, including procedural areas such as Operating Rooms and Interventional Radiology, if applicable.</w:t>
      </w:r>
      <w:r w:rsidR="000F58FF">
        <w:rPr>
          <w:rFonts w:ascii="Arial" w:hAnsi="Arial" w:cs="Arial"/>
        </w:rPr>
        <w:t xml:space="preserve"> </w:t>
      </w:r>
      <w:r w:rsidRPr="00B81201">
        <w:rPr>
          <w:rFonts w:ascii="Arial" w:hAnsi="Arial" w:cs="Arial"/>
        </w:rPr>
        <w:t xml:space="preserve">It’s important to ensure the days present for FacWideIN are correct to confidently interpret antimicrobial usage rates across the facility. Additionally, this question may help identify locations that are missing from either the FacWideIN calculation or individual submission. To confirm the appropriate aggregation of days present for FacWideIN, please list the value of days present for FacWideIN shown within the vendor software and the value of days present for the aggregate of all inpatient locations in the table below. You will likely need to manually sum the days present for each individual inpatient location to get the total aggregate of days present. </w:t>
      </w:r>
    </w:p>
    <w:p w14:paraId="5189F218" w14:textId="77777777" w:rsidR="00362E70" w:rsidRDefault="00362E70" w:rsidP="00C12D3A">
      <w:pPr>
        <w:pStyle w:val="NoSpacing"/>
        <w:ind w:left="720"/>
        <w:rPr>
          <w:rFonts w:ascii="Arial" w:hAnsi="Arial" w:cs="Arial"/>
        </w:rPr>
      </w:pPr>
    </w:p>
    <w:tbl>
      <w:tblPr>
        <w:tblStyle w:val="TableGrid"/>
        <w:tblW w:w="9270" w:type="dxa"/>
        <w:tblInd w:w="715" w:type="dxa"/>
        <w:tblLook w:val="04A0" w:firstRow="1" w:lastRow="0" w:firstColumn="1" w:lastColumn="0" w:noHBand="0" w:noVBand="1"/>
      </w:tblPr>
      <w:tblGrid>
        <w:gridCol w:w="3090"/>
        <w:gridCol w:w="3090"/>
        <w:gridCol w:w="3090"/>
      </w:tblGrid>
      <w:tr w:rsidR="00362E70" w:rsidRPr="00B81201" w14:paraId="78F2CE80" w14:textId="77777777" w:rsidTr="00B70C63">
        <w:tc>
          <w:tcPr>
            <w:tcW w:w="3090" w:type="dxa"/>
            <w:vAlign w:val="center"/>
          </w:tcPr>
          <w:p w14:paraId="563DDF8A" w14:textId="50853044" w:rsidR="00362E70" w:rsidRPr="00B81201" w:rsidRDefault="00362E70" w:rsidP="00C12D3A">
            <w:pPr>
              <w:pStyle w:val="NoSpacing"/>
              <w:rPr>
                <w:rFonts w:ascii="Arial" w:hAnsi="Arial" w:cs="Arial"/>
                <w:b/>
                <w:bCs/>
              </w:rPr>
            </w:pPr>
            <w:r w:rsidRPr="00B81201">
              <w:rPr>
                <w:rFonts w:ascii="Arial" w:hAnsi="Arial" w:cs="Arial"/>
                <w:b/>
              </w:rPr>
              <w:t>Month/Year</w:t>
            </w:r>
          </w:p>
        </w:tc>
        <w:tc>
          <w:tcPr>
            <w:tcW w:w="3090" w:type="dxa"/>
            <w:vAlign w:val="center"/>
          </w:tcPr>
          <w:p w14:paraId="1EB58B93" w14:textId="3EAAEDE1" w:rsidR="00362E70" w:rsidRPr="00B81201" w:rsidRDefault="00362E70" w:rsidP="00C12D3A">
            <w:pPr>
              <w:pStyle w:val="NoSpacing"/>
              <w:rPr>
                <w:rFonts w:ascii="Arial" w:hAnsi="Arial" w:cs="Arial"/>
                <w:b/>
                <w:bCs/>
              </w:rPr>
            </w:pPr>
            <w:r w:rsidRPr="00B81201">
              <w:rPr>
                <w:rFonts w:ascii="Arial" w:hAnsi="Arial" w:cs="Arial"/>
                <w:b/>
              </w:rPr>
              <w:t>Vendor Software Total Days Present for FacWideIN</w:t>
            </w:r>
          </w:p>
        </w:tc>
        <w:tc>
          <w:tcPr>
            <w:tcW w:w="3090" w:type="dxa"/>
            <w:vAlign w:val="center"/>
          </w:tcPr>
          <w:p w14:paraId="35B84318" w14:textId="1BF4AA9F" w:rsidR="00362E70" w:rsidRPr="00B81201" w:rsidRDefault="00362E70" w:rsidP="00C12D3A">
            <w:pPr>
              <w:pStyle w:val="NoSpacing"/>
              <w:rPr>
                <w:rFonts w:ascii="Arial" w:hAnsi="Arial" w:cs="Arial"/>
                <w:b/>
                <w:bCs/>
              </w:rPr>
            </w:pPr>
            <w:r w:rsidRPr="00B81201">
              <w:rPr>
                <w:rFonts w:ascii="Arial" w:hAnsi="Arial" w:cs="Arial"/>
                <w:b/>
              </w:rPr>
              <w:t>Total Days Present for aggregate of all individual inpatient locations within the Vendor Software</w:t>
            </w:r>
          </w:p>
        </w:tc>
      </w:tr>
      <w:tr w:rsidR="00362E70" w:rsidRPr="00B81201" w14:paraId="247AEBCD" w14:textId="77777777" w:rsidTr="00B70C63">
        <w:tc>
          <w:tcPr>
            <w:tcW w:w="3090" w:type="dxa"/>
          </w:tcPr>
          <w:p w14:paraId="15E8FC17" w14:textId="77777777" w:rsidR="00362E70" w:rsidRPr="00B81201" w:rsidRDefault="00362E70" w:rsidP="00C12D3A">
            <w:pPr>
              <w:pStyle w:val="NoSpacing"/>
              <w:rPr>
                <w:rFonts w:ascii="Arial" w:hAnsi="Arial" w:cs="Arial"/>
              </w:rPr>
            </w:pPr>
          </w:p>
        </w:tc>
        <w:tc>
          <w:tcPr>
            <w:tcW w:w="3090" w:type="dxa"/>
          </w:tcPr>
          <w:p w14:paraId="261BADF0" w14:textId="77777777" w:rsidR="00362E70" w:rsidRPr="00B81201" w:rsidRDefault="00362E70" w:rsidP="00C12D3A">
            <w:pPr>
              <w:pStyle w:val="NoSpacing"/>
              <w:rPr>
                <w:rFonts w:ascii="Arial" w:hAnsi="Arial" w:cs="Arial"/>
              </w:rPr>
            </w:pPr>
          </w:p>
        </w:tc>
        <w:tc>
          <w:tcPr>
            <w:tcW w:w="3090" w:type="dxa"/>
          </w:tcPr>
          <w:p w14:paraId="0EEC90C7" w14:textId="77777777" w:rsidR="00362E70" w:rsidRPr="00B81201" w:rsidRDefault="00362E70" w:rsidP="00C12D3A">
            <w:pPr>
              <w:pStyle w:val="NoSpacing"/>
              <w:rPr>
                <w:rFonts w:ascii="Arial" w:hAnsi="Arial" w:cs="Arial"/>
              </w:rPr>
            </w:pPr>
          </w:p>
        </w:tc>
      </w:tr>
      <w:tr w:rsidR="00362E70" w:rsidRPr="00B81201" w14:paraId="04766E05" w14:textId="77777777" w:rsidTr="00B70C63">
        <w:tc>
          <w:tcPr>
            <w:tcW w:w="3090" w:type="dxa"/>
          </w:tcPr>
          <w:p w14:paraId="1AB4D238" w14:textId="77777777" w:rsidR="00362E70" w:rsidRPr="00B81201" w:rsidRDefault="00362E70" w:rsidP="00C12D3A">
            <w:pPr>
              <w:pStyle w:val="NoSpacing"/>
              <w:rPr>
                <w:rFonts w:ascii="Arial" w:hAnsi="Arial" w:cs="Arial"/>
              </w:rPr>
            </w:pPr>
          </w:p>
        </w:tc>
        <w:tc>
          <w:tcPr>
            <w:tcW w:w="3090" w:type="dxa"/>
          </w:tcPr>
          <w:p w14:paraId="25F17168" w14:textId="77777777" w:rsidR="00362E70" w:rsidRPr="00B81201" w:rsidRDefault="00362E70" w:rsidP="00C12D3A">
            <w:pPr>
              <w:pStyle w:val="NoSpacing"/>
              <w:rPr>
                <w:rFonts w:ascii="Arial" w:hAnsi="Arial" w:cs="Arial"/>
              </w:rPr>
            </w:pPr>
          </w:p>
        </w:tc>
        <w:tc>
          <w:tcPr>
            <w:tcW w:w="3090" w:type="dxa"/>
          </w:tcPr>
          <w:p w14:paraId="3A986C10" w14:textId="77777777" w:rsidR="00362E70" w:rsidRPr="00B81201" w:rsidRDefault="00362E70" w:rsidP="00C12D3A">
            <w:pPr>
              <w:pStyle w:val="NoSpacing"/>
              <w:rPr>
                <w:rFonts w:ascii="Arial" w:hAnsi="Arial" w:cs="Arial"/>
              </w:rPr>
            </w:pPr>
          </w:p>
        </w:tc>
      </w:tr>
      <w:tr w:rsidR="00362E70" w:rsidRPr="00B81201" w14:paraId="2AD65608" w14:textId="77777777" w:rsidTr="00B70C63">
        <w:tc>
          <w:tcPr>
            <w:tcW w:w="3090" w:type="dxa"/>
          </w:tcPr>
          <w:p w14:paraId="4E675EE0" w14:textId="77777777" w:rsidR="00362E70" w:rsidRPr="00B81201" w:rsidRDefault="00362E70" w:rsidP="00C12D3A">
            <w:pPr>
              <w:pStyle w:val="NoSpacing"/>
              <w:rPr>
                <w:rFonts w:ascii="Arial" w:hAnsi="Arial" w:cs="Arial"/>
              </w:rPr>
            </w:pPr>
          </w:p>
        </w:tc>
        <w:tc>
          <w:tcPr>
            <w:tcW w:w="3090" w:type="dxa"/>
          </w:tcPr>
          <w:p w14:paraId="6EAFA5E4" w14:textId="77777777" w:rsidR="00362E70" w:rsidRPr="00B81201" w:rsidRDefault="00362E70" w:rsidP="00C12D3A">
            <w:pPr>
              <w:pStyle w:val="NoSpacing"/>
              <w:rPr>
                <w:rFonts w:ascii="Arial" w:hAnsi="Arial" w:cs="Arial"/>
              </w:rPr>
            </w:pPr>
          </w:p>
        </w:tc>
        <w:tc>
          <w:tcPr>
            <w:tcW w:w="3090" w:type="dxa"/>
          </w:tcPr>
          <w:p w14:paraId="637C18F5" w14:textId="77777777" w:rsidR="00362E70" w:rsidRPr="00B81201" w:rsidRDefault="00362E70" w:rsidP="00C12D3A">
            <w:pPr>
              <w:pStyle w:val="NoSpacing"/>
              <w:rPr>
                <w:rFonts w:ascii="Arial" w:hAnsi="Arial" w:cs="Arial"/>
              </w:rPr>
            </w:pPr>
          </w:p>
        </w:tc>
      </w:tr>
    </w:tbl>
    <w:p w14:paraId="668CEF32" w14:textId="77777777" w:rsidR="00B81201" w:rsidRPr="00B81201" w:rsidRDefault="00B81201" w:rsidP="00C12D3A">
      <w:pPr>
        <w:pStyle w:val="NoSpacing"/>
        <w:rPr>
          <w:rFonts w:ascii="Arial" w:hAnsi="Arial" w:cs="Arial"/>
        </w:rPr>
      </w:pPr>
    </w:p>
    <w:p w14:paraId="47C14528" w14:textId="20E3768D" w:rsidR="00B81201" w:rsidRPr="00B81201" w:rsidRDefault="00B81201" w:rsidP="00C12D3A">
      <w:pPr>
        <w:pStyle w:val="NoSpacing"/>
        <w:ind w:left="720"/>
        <w:rPr>
          <w:rFonts w:ascii="Arial" w:hAnsi="Arial" w:cs="Arial"/>
        </w:rPr>
      </w:pPr>
      <w:r w:rsidRPr="00B81201">
        <w:rPr>
          <w:rFonts w:ascii="Arial" w:hAnsi="Arial" w:cs="Arial"/>
        </w:rPr>
        <w:t xml:space="preserve">Due to admissions, discharges, and transfers, the days present count for FacWideIN should always be </w:t>
      </w:r>
      <w:r w:rsidRPr="00D61984">
        <w:rPr>
          <w:rFonts w:ascii="Arial" w:hAnsi="Arial" w:cs="Arial"/>
          <w:b/>
          <w:bCs/>
        </w:rPr>
        <w:t>less</w:t>
      </w:r>
      <w:r w:rsidRPr="00B81201">
        <w:rPr>
          <w:rFonts w:ascii="Arial" w:hAnsi="Arial" w:cs="Arial"/>
        </w:rPr>
        <w:t xml:space="preserve"> than the sum of the days present count for all inpatient locations.</w:t>
      </w:r>
      <w:r w:rsidR="00C111AB">
        <w:rPr>
          <w:rFonts w:ascii="Arial" w:hAnsi="Arial" w:cs="Arial"/>
        </w:rPr>
        <w:t xml:space="preserve"> </w:t>
      </w:r>
    </w:p>
    <w:p w14:paraId="5C86E0E7" w14:textId="77777777" w:rsidR="00B81201" w:rsidRPr="00B81201" w:rsidRDefault="00B81201" w:rsidP="002C32EB">
      <w:pPr>
        <w:pStyle w:val="NoSpacing"/>
        <w:rPr>
          <w:rFonts w:ascii="Arial" w:hAnsi="Arial" w:cs="Arial"/>
        </w:rPr>
      </w:pPr>
    </w:p>
    <w:p w14:paraId="3D6EE1CC" w14:textId="77777777" w:rsidR="00B81201" w:rsidRPr="00B81201" w:rsidRDefault="00B81201" w:rsidP="00C12D3A">
      <w:pPr>
        <w:pStyle w:val="NoSpacing"/>
        <w:ind w:left="720"/>
        <w:rPr>
          <w:rFonts w:ascii="Arial" w:hAnsi="Arial" w:cs="Arial"/>
        </w:rPr>
      </w:pPr>
      <w:r w:rsidRPr="00B81201">
        <w:rPr>
          <w:rFonts w:ascii="Arial" w:hAnsi="Arial" w:cs="Arial"/>
        </w:rPr>
        <w:t xml:space="preserve">If you see days present for FacWideIN is </w:t>
      </w:r>
      <w:r w:rsidRPr="00D61984">
        <w:rPr>
          <w:rFonts w:ascii="Arial" w:hAnsi="Arial" w:cs="Arial"/>
          <w:b/>
          <w:bCs/>
        </w:rPr>
        <w:t>higher</w:t>
      </w:r>
      <w:r w:rsidRPr="00B81201">
        <w:rPr>
          <w:rFonts w:ascii="Arial" w:hAnsi="Arial" w:cs="Arial"/>
        </w:rPr>
        <w:t xml:space="preserve"> than the sum of days present of all inpatient locations in the data you populated above, possible errors are listed below to aid in your investigation:</w:t>
      </w:r>
    </w:p>
    <w:p w14:paraId="61D92DD1" w14:textId="77777777" w:rsidR="00B81201" w:rsidRPr="00B81201" w:rsidRDefault="00B81201" w:rsidP="00C12D3A">
      <w:pPr>
        <w:pStyle w:val="NoSpacing"/>
        <w:rPr>
          <w:rFonts w:ascii="Arial" w:hAnsi="Arial" w:cs="Arial"/>
        </w:rPr>
      </w:pPr>
    </w:p>
    <w:p w14:paraId="63BF9B8B" w14:textId="77777777" w:rsidR="00B81201" w:rsidRPr="00B81201" w:rsidRDefault="00B81201" w:rsidP="009B4E9C">
      <w:pPr>
        <w:pStyle w:val="NoSpacing"/>
        <w:numPr>
          <w:ilvl w:val="1"/>
          <w:numId w:val="14"/>
        </w:numPr>
        <w:rPr>
          <w:rFonts w:ascii="Arial" w:hAnsi="Arial" w:cs="Arial"/>
        </w:rPr>
      </w:pPr>
      <w:r w:rsidRPr="00B81201">
        <w:rPr>
          <w:rFonts w:ascii="Arial" w:hAnsi="Arial" w:cs="Arial"/>
        </w:rPr>
        <w:t xml:space="preserve">Vendor system is </w:t>
      </w:r>
      <w:r w:rsidRPr="00D61984">
        <w:rPr>
          <w:rFonts w:ascii="Arial" w:hAnsi="Arial" w:cs="Arial"/>
          <w:b/>
          <w:bCs/>
        </w:rPr>
        <w:t>incorrectly</w:t>
      </w:r>
      <w:r w:rsidRPr="00B81201">
        <w:rPr>
          <w:rFonts w:ascii="Arial" w:hAnsi="Arial" w:cs="Arial"/>
        </w:rPr>
        <w:t xml:space="preserve"> including outpatient locations (for example, ED or 24-hour observation unit) in the FacWideIN calculations. </w:t>
      </w:r>
    </w:p>
    <w:p w14:paraId="48BEFD8F" w14:textId="77777777" w:rsidR="00B81201" w:rsidRPr="00B81201" w:rsidRDefault="00B81201" w:rsidP="002C32EB">
      <w:pPr>
        <w:pStyle w:val="NoSpacing"/>
        <w:rPr>
          <w:rFonts w:ascii="Arial" w:hAnsi="Arial" w:cs="Arial"/>
        </w:rPr>
      </w:pPr>
    </w:p>
    <w:p w14:paraId="62123D86" w14:textId="4F941D24" w:rsidR="00B81201" w:rsidRPr="00B81201" w:rsidRDefault="00B81201" w:rsidP="009B4E9C">
      <w:pPr>
        <w:pStyle w:val="NoSpacing"/>
        <w:numPr>
          <w:ilvl w:val="1"/>
          <w:numId w:val="14"/>
        </w:numPr>
        <w:rPr>
          <w:rFonts w:ascii="Arial" w:hAnsi="Arial" w:cs="Arial"/>
        </w:rPr>
      </w:pPr>
      <w:r w:rsidRPr="00B81201">
        <w:rPr>
          <w:rFonts w:ascii="Arial" w:hAnsi="Arial" w:cs="Arial"/>
        </w:rPr>
        <w:t xml:space="preserve">Missing </w:t>
      </w:r>
      <w:r w:rsidR="31C96436" w:rsidRPr="7D64B4C9">
        <w:rPr>
          <w:rFonts w:ascii="Arial" w:hAnsi="Arial" w:cs="Arial"/>
        </w:rPr>
        <w:t>one or more</w:t>
      </w:r>
      <w:r w:rsidRPr="00B81201">
        <w:rPr>
          <w:rFonts w:ascii="Arial" w:hAnsi="Arial" w:cs="Arial"/>
        </w:rPr>
        <w:t xml:space="preserve"> reportable inpatient </w:t>
      </w:r>
      <w:r w:rsidRPr="7D64B4C9">
        <w:rPr>
          <w:rFonts w:ascii="Arial" w:hAnsi="Arial" w:cs="Arial"/>
        </w:rPr>
        <w:t>location</w:t>
      </w:r>
      <w:r w:rsidR="53CC5194" w:rsidRPr="7D64B4C9">
        <w:rPr>
          <w:rFonts w:ascii="Arial" w:hAnsi="Arial" w:cs="Arial"/>
        </w:rPr>
        <w:t>s</w:t>
      </w:r>
      <w:r w:rsidRPr="00B81201">
        <w:rPr>
          <w:rFonts w:ascii="Arial" w:hAnsi="Arial" w:cs="Arial"/>
        </w:rPr>
        <w:t xml:space="preserve"> when doing the location-specific aggregations. </w:t>
      </w:r>
    </w:p>
    <w:p w14:paraId="70CF3111" w14:textId="77777777" w:rsidR="00B81201" w:rsidRPr="00B81201" w:rsidRDefault="00B81201" w:rsidP="002C32EB">
      <w:pPr>
        <w:pStyle w:val="NoSpacing"/>
        <w:rPr>
          <w:rFonts w:ascii="Arial" w:hAnsi="Arial" w:cs="Arial"/>
        </w:rPr>
      </w:pPr>
    </w:p>
    <w:p w14:paraId="579A4EE3" w14:textId="77777777" w:rsidR="00B81201" w:rsidRPr="00B81201" w:rsidRDefault="00B81201" w:rsidP="009B4E9C">
      <w:pPr>
        <w:pStyle w:val="NoSpacing"/>
        <w:numPr>
          <w:ilvl w:val="1"/>
          <w:numId w:val="14"/>
        </w:numPr>
        <w:rPr>
          <w:rFonts w:ascii="Arial" w:hAnsi="Arial" w:cs="Arial"/>
        </w:rPr>
      </w:pPr>
      <w:r w:rsidRPr="00B81201">
        <w:rPr>
          <w:rFonts w:ascii="Arial" w:hAnsi="Arial" w:cs="Arial"/>
        </w:rPr>
        <w:t xml:space="preserve">For units the vendor system is not reporting individually due to lack of accurate data capture, vendor system is incorrectly </w:t>
      </w:r>
      <w:r w:rsidRPr="00D61984">
        <w:rPr>
          <w:rFonts w:ascii="Arial" w:hAnsi="Arial" w:cs="Arial"/>
          <w:b/>
          <w:bCs/>
        </w:rPr>
        <w:t>including</w:t>
      </w:r>
      <w:r w:rsidRPr="00B81201">
        <w:rPr>
          <w:rFonts w:ascii="Arial" w:hAnsi="Arial" w:cs="Arial"/>
        </w:rPr>
        <w:t xml:space="preserve"> them in the FacWideIN calculations. </w:t>
      </w:r>
    </w:p>
    <w:p w14:paraId="313A2F3F" w14:textId="4363A448" w:rsidR="00B81201" w:rsidRDefault="00B81201" w:rsidP="00B70C63">
      <w:pPr>
        <w:pStyle w:val="NoSpacing"/>
        <w:rPr>
          <w:rFonts w:ascii="Arial" w:hAnsi="Arial" w:cs="Arial"/>
        </w:rPr>
      </w:pPr>
      <w:r w:rsidRPr="00B81201">
        <w:rPr>
          <w:rFonts w:ascii="Arial" w:hAnsi="Arial" w:cs="Arial"/>
        </w:rPr>
        <w:t xml:space="preserve"> </w:t>
      </w:r>
    </w:p>
    <w:p w14:paraId="0B180814" w14:textId="22FF19C1" w:rsidR="00B81201" w:rsidRDefault="00B81201" w:rsidP="00C12D3A">
      <w:pPr>
        <w:pStyle w:val="Heading2"/>
        <w:spacing w:before="0" w:after="0" w:line="240" w:lineRule="auto"/>
        <w:rPr>
          <w:color w:val="47264F" w:themeColor="accent5"/>
          <w:sz w:val="26"/>
          <w:szCs w:val="26"/>
        </w:rPr>
      </w:pPr>
      <w:bookmarkStart w:id="13" w:name="_2._Compare_AU,"/>
      <w:bookmarkEnd w:id="13"/>
      <w:r>
        <w:rPr>
          <w:bCs/>
          <w:color w:val="47264F" w:themeColor="accent5"/>
          <w:sz w:val="26"/>
          <w:szCs w:val="26"/>
        </w:rPr>
        <w:t>2</w:t>
      </w:r>
      <w:r w:rsidRPr="00B45EAD">
        <w:rPr>
          <w:bCs/>
          <w:color w:val="47264F" w:themeColor="accent5"/>
          <w:sz w:val="26"/>
          <w:szCs w:val="26"/>
        </w:rPr>
        <w:t>.</w:t>
      </w:r>
      <w:r>
        <w:rPr>
          <w:color w:val="47264F" w:themeColor="accent5"/>
          <w:sz w:val="26"/>
          <w:szCs w:val="26"/>
        </w:rPr>
        <w:t xml:space="preserve"> </w:t>
      </w:r>
      <w:r w:rsidRPr="00B81201">
        <w:rPr>
          <w:color w:val="47264F" w:themeColor="accent5"/>
          <w:sz w:val="26"/>
          <w:szCs w:val="26"/>
        </w:rPr>
        <w:t>Compare AU, AR, and HAI denominators</w:t>
      </w:r>
    </w:p>
    <w:p w14:paraId="4BC83FE9" w14:textId="77777777" w:rsidR="00B81201" w:rsidRDefault="00B81201" w:rsidP="00C12D3A">
      <w:pPr>
        <w:spacing w:before="0" w:after="0" w:line="240" w:lineRule="auto"/>
        <w:rPr>
          <w:rFonts w:cs="Arial"/>
        </w:rPr>
      </w:pPr>
    </w:p>
    <w:p w14:paraId="231233D5" w14:textId="4D54DDA7" w:rsidR="00B81201" w:rsidRPr="00B81201" w:rsidRDefault="00B81201" w:rsidP="00C12D3A">
      <w:pPr>
        <w:spacing w:before="0" w:after="0" w:line="240" w:lineRule="auto"/>
        <w:rPr>
          <w:rFonts w:cs="Arial"/>
        </w:rPr>
      </w:pPr>
      <w:r w:rsidRPr="00B81201">
        <w:rPr>
          <w:rFonts w:cs="Arial"/>
          <w:b/>
          <w:bCs/>
        </w:rPr>
        <w:t>Note</w:t>
      </w:r>
      <w:r w:rsidRPr="00B81201">
        <w:rPr>
          <w:rFonts w:cs="Arial"/>
        </w:rPr>
        <w:t>: The NHSN Team expects some variability due to the different definitions and data sources used for the various reporting modules of NHSN.</w:t>
      </w:r>
    </w:p>
    <w:p w14:paraId="0C5B275B" w14:textId="77777777" w:rsidR="00B81201" w:rsidRPr="00B81201" w:rsidRDefault="00B81201" w:rsidP="00C12D3A">
      <w:pPr>
        <w:spacing w:before="0" w:after="0" w:line="240" w:lineRule="auto"/>
        <w:rPr>
          <w:rFonts w:cs="Arial"/>
        </w:rPr>
      </w:pPr>
    </w:p>
    <w:p w14:paraId="200191A5" w14:textId="5DE09BFC" w:rsidR="00B81201" w:rsidRPr="00B81201" w:rsidRDefault="00B81201" w:rsidP="00C12D3A">
      <w:pPr>
        <w:spacing w:before="0" w:after="0" w:line="240" w:lineRule="auto"/>
        <w:rPr>
          <w:rFonts w:cs="Arial"/>
        </w:rPr>
      </w:pPr>
      <w:r w:rsidRPr="00B81201">
        <w:rPr>
          <w:rFonts w:cs="Arial"/>
          <w:b/>
          <w:bCs/>
        </w:rPr>
        <w:t>Methodology</w:t>
      </w:r>
      <w:r w:rsidRPr="00B81201">
        <w:rPr>
          <w:rFonts w:cs="Arial"/>
        </w:rPr>
        <w:t xml:space="preserve">: It’s important to ensure the AU denominators of days present are correct due to their inclusion in the SAAR calculations. The HAI denominator of patient days is often considered the gold standard for denominator data reported to NHSN. If the same patient care locations are covered under both AU Option and HAI reporting, comparing the AU days present to the HAI patient days provides a helpful starting place for determining if there are issues with the AU denominator of days present. </w:t>
      </w:r>
      <w:r w:rsidR="00F659A9" w:rsidRPr="00F659A9">
        <w:rPr>
          <w:rFonts w:cs="Arial"/>
        </w:rPr>
        <w:t xml:space="preserve">This comparison </w:t>
      </w:r>
      <w:r w:rsidR="002D2ABE" w:rsidRPr="002D2ABE">
        <w:rPr>
          <w:rFonts w:cs="Arial"/>
        </w:rPr>
        <w:t xml:space="preserve">should only be </w:t>
      </w:r>
      <w:proofErr w:type="gramStart"/>
      <w:r w:rsidR="002D2ABE" w:rsidRPr="002D2ABE">
        <w:rPr>
          <w:rFonts w:cs="Arial"/>
        </w:rPr>
        <w:t>performed</w:t>
      </w:r>
      <w:proofErr w:type="gramEnd"/>
      <w:r w:rsidR="002D2ABE" w:rsidRPr="002D2ABE">
        <w:rPr>
          <w:rFonts w:cs="Arial"/>
        </w:rPr>
        <w:t xml:space="preserve"> </w:t>
      </w:r>
      <w:r w:rsidR="016DC81C" w:rsidRPr="446C9AC7">
        <w:rPr>
          <w:rFonts w:cs="Arial"/>
        </w:rPr>
        <w:t>when</w:t>
      </w:r>
      <w:r w:rsidR="002D2ABE" w:rsidRPr="002D2ABE">
        <w:rPr>
          <w:rFonts w:cs="Arial"/>
        </w:rPr>
        <w:t xml:space="preserve"> AU Option and HAI locations are matched one-to-one</w:t>
      </w:r>
      <w:r w:rsidR="00F659A9" w:rsidRPr="00AA2523">
        <w:rPr>
          <w:rFonts w:cs="Arial"/>
        </w:rPr>
        <w:t>.</w:t>
      </w:r>
      <w:r w:rsidR="00F659A9">
        <w:rPr>
          <w:rFonts w:cs="Arial"/>
        </w:rPr>
        <w:t xml:space="preserve"> </w:t>
      </w:r>
      <w:r w:rsidR="008D0562" w:rsidRPr="008D0562">
        <w:rPr>
          <w:rFonts w:cs="Arial"/>
        </w:rPr>
        <w:t>The AU Module may include additional procedural locations, which is acceptable.</w:t>
      </w:r>
      <w:r w:rsidR="008D0562">
        <w:rPr>
          <w:rFonts w:cs="Arial"/>
        </w:rPr>
        <w:t xml:space="preserve"> </w:t>
      </w:r>
      <w:r w:rsidR="00125514">
        <w:rPr>
          <w:rFonts w:cs="Arial"/>
        </w:rPr>
        <w:t xml:space="preserve">Please see </w:t>
      </w:r>
      <w:r w:rsidR="00C73BB0">
        <w:rPr>
          <w:rFonts w:cs="Arial"/>
        </w:rPr>
        <w:t>S</w:t>
      </w:r>
      <w:r w:rsidR="00125514">
        <w:rPr>
          <w:rFonts w:cs="Arial"/>
        </w:rPr>
        <w:t>ection</w:t>
      </w:r>
      <w:r w:rsidR="00314358">
        <w:rPr>
          <w:rFonts w:cs="Arial"/>
        </w:rPr>
        <w:t xml:space="preserve"> B</w:t>
      </w:r>
      <w:r w:rsidR="00125514">
        <w:rPr>
          <w:rFonts w:cs="Arial"/>
        </w:rPr>
        <w:t xml:space="preserve"> </w:t>
      </w:r>
      <w:r w:rsidR="00657497">
        <w:rPr>
          <w:rFonts w:cs="Arial"/>
        </w:rPr>
        <w:t xml:space="preserve">to review </w:t>
      </w:r>
      <w:r w:rsidR="008C2224">
        <w:rPr>
          <w:rFonts w:cs="Arial"/>
        </w:rPr>
        <w:t xml:space="preserve">the </w:t>
      </w:r>
      <w:r w:rsidR="00657497">
        <w:rPr>
          <w:rFonts w:cs="Arial"/>
        </w:rPr>
        <w:t xml:space="preserve">patient </w:t>
      </w:r>
      <w:r w:rsidR="00314358" w:rsidRPr="00B45EAD">
        <w:t>locations mapped in NHSN</w:t>
      </w:r>
      <w:r w:rsidR="00657497">
        <w:rPr>
          <w:rFonts w:cs="Arial"/>
        </w:rPr>
        <w:t xml:space="preserve">. </w:t>
      </w:r>
      <w:r w:rsidR="00021E60">
        <w:rPr>
          <w:rFonts w:cs="Arial"/>
        </w:rPr>
        <w:t xml:space="preserve">If </w:t>
      </w:r>
      <w:r w:rsidR="007B1840">
        <w:rPr>
          <w:rFonts w:cs="Arial"/>
        </w:rPr>
        <w:t xml:space="preserve">an </w:t>
      </w:r>
      <w:r w:rsidR="00021E60">
        <w:rPr>
          <w:rFonts w:cs="Arial"/>
        </w:rPr>
        <w:t>appropriate</w:t>
      </w:r>
      <w:r w:rsidR="007B1840">
        <w:rPr>
          <w:rFonts w:cs="Arial"/>
        </w:rPr>
        <w:t xml:space="preserve"> comparison</w:t>
      </w:r>
      <w:r w:rsidR="002D2ABE">
        <w:rPr>
          <w:rFonts w:cs="Arial"/>
        </w:rPr>
        <w:t xml:space="preserve"> can be made</w:t>
      </w:r>
      <w:r w:rsidR="00021E60">
        <w:rPr>
          <w:rFonts w:cs="Arial"/>
        </w:rPr>
        <w:t>,</w:t>
      </w:r>
      <w:r w:rsidRPr="00B81201">
        <w:rPr>
          <w:rFonts w:cs="Arial"/>
        </w:rPr>
        <w:t xml:space="preserve"> list the AU days present from either the vendor software, or if you’ve already uploaded AU data, from NHSN, in the table below. Next, include the HAI patient days from the </w:t>
      </w:r>
      <w:r w:rsidR="00A84084">
        <w:rPr>
          <w:rFonts w:cs="Arial"/>
        </w:rPr>
        <w:t>monthly summary data for the Device</w:t>
      </w:r>
      <w:r w:rsidR="00783B80">
        <w:rPr>
          <w:rFonts w:cs="Arial"/>
        </w:rPr>
        <w:t xml:space="preserve"> Associated </w:t>
      </w:r>
      <w:r w:rsidRPr="00B81201">
        <w:rPr>
          <w:rFonts w:cs="Arial"/>
        </w:rPr>
        <w:t xml:space="preserve">Module reported in NHSN for a selection of locations in the table below. Then, calculate the </w:t>
      </w:r>
      <w:proofErr w:type="gramStart"/>
      <w:r w:rsidRPr="00B81201">
        <w:rPr>
          <w:rFonts w:cs="Arial"/>
        </w:rPr>
        <w:t>percent</w:t>
      </w:r>
      <w:proofErr w:type="gramEnd"/>
      <w:r w:rsidRPr="00B81201">
        <w:rPr>
          <w:rFonts w:cs="Arial"/>
        </w:rPr>
        <w:t xml:space="preserve"> difference using the formula provided below. We recommend checking at least two ICU locations, two ward locations, and one NICU location (if applicable). You can find the HAI patient days in the Device-Associated summary records in NHSN used for </w:t>
      </w:r>
      <w:r w:rsidR="0047038A">
        <w:rPr>
          <w:rFonts w:cs="Arial"/>
        </w:rPr>
        <w:t>HAI</w:t>
      </w:r>
      <w:r w:rsidR="0047038A" w:rsidRPr="00B81201">
        <w:rPr>
          <w:rFonts w:cs="Arial"/>
        </w:rPr>
        <w:t xml:space="preserve"> </w:t>
      </w:r>
      <w:r w:rsidRPr="00B81201">
        <w:rPr>
          <w:rFonts w:cs="Arial"/>
        </w:rPr>
        <w:t>reporting.</w:t>
      </w:r>
    </w:p>
    <w:p w14:paraId="773D3AA2" w14:textId="77777777" w:rsidR="00B81201" w:rsidRPr="00B81201" w:rsidRDefault="00B81201" w:rsidP="00C12D3A">
      <w:pPr>
        <w:spacing w:before="0" w:after="0" w:line="240" w:lineRule="auto"/>
        <w:rPr>
          <w:rFonts w:cs="Arial"/>
        </w:rPr>
      </w:pPr>
    </w:p>
    <w:p w14:paraId="02FF54F0" w14:textId="2FEDFD19" w:rsidR="00B81201" w:rsidRPr="00B81201" w:rsidRDefault="00B81201" w:rsidP="00C12D3A">
      <w:pPr>
        <w:spacing w:before="0" w:after="0" w:line="240" w:lineRule="auto"/>
        <w:rPr>
          <w:rFonts w:cs="Arial"/>
        </w:rPr>
      </w:pPr>
      <w:r w:rsidRPr="00B81201">
        <w:rPr>
          <w:rFonts w:cs="Arial"/>
          <w:b/>
          <w:bCs/>
        </w:rPr>
        <w:t>Note</w:t>
      </w:r>
      <w:r w:rsidRPr="00B81201">
        <w:rPr>
          <w:rFonts w:cs="Arial"/>
        </w:rPr>
        <w:t xml:space="preserve">: For facilities participating in HAI reporting for Centers for Medicare and Medicaid Services (CMS), all adult, pediatric, and NICU locations along with adult and pediatric medical, surgical, and medical/surgical ward locations should report </w:t>
      </w:r>
      <w:r w:rsidR="000C1FE7">
        <w:rPr>
          <w:rFonts w:cs="Arial"/>
        </w:rPr>
        <w:t xml:space="preserve">monthly summary </w:t>
      </w:r>
      <w:r w:rsidRPr="00B81201">
        <w:rPr>
          <w:rFonts w:cs="Arial"/>
        </w:rPr>
        <w:t>HAI patient days for each location. You may need to ask your Infection Preventionist (IP) for help finding these numbers within NHSN.</w:t>
      </w:r>
    </w:p>
    <w:p w14:paraId="186A26E0" w14:textId="77777777" w:rsidR="00B81201" w:rsidRPr="00B81201" w:rsidRDefault="00B81201" w:rsidP="00C12D3A">
      <w:pPr>
        <w:spacing w:before="0" w:after="0" w:line="240" w:lineRule="auto"/>
        <w:rPr>
          <w:rFonts w:cs="Arial"/>
        </w:rPr>
      </w:pPr>
    </w:p>
    <w:p w14:paraId="3B620EE2" w14:textId="7F498DF4" w:rsidR="00B81201" w:rsidRPr="00B81201" w:rsidRDefault="00B81201" w:rsidP="00C12D3A">
      <w:pPr>
        <w:spacing w:before="0" w:after="0" w:line="240" w:lineRule="auto"/>
        <w:rPr>
          <w:rFonts w:cs="Arial"/>
        </w:rPr>
      </w:pPr>
      <w:r w:rsidRPr="00B81201">
        <w:rPr>
          <w:rFonts w:cs="Arial"/>
        </w:rPr>
        <w:t xml:space="preserve">If the same locations are covered under both AU and HAI reporting, AU days present should always be equal or higher than HAI patient days. The difference depends on how frequently patients are transferred among inpatient locations in your facility. You may calculate the percentage of difference between AU days present and HAI patient days using the below formula. Based on internal NHSN analyses, for most facilities (90%), this difference in AU days present falls within 42% </w:t>
      </w:r>
      <w:r w:rsidR="0038481B">
        <w:rPr>
          <w:rFonts w:cs="Arial"/>
        </w:rPr>
        <w:t>of</w:t>
      </w:r>
      <w:r w:rsidR="0038481B" w:rsidRPr="00B81201">
        <w:rPr>
          <w:rFonts w:cs="Arial"/>
        </w:rPr>
        <w:t xml:space="preserve"> </w:t>
      </w:r>
      <w:r w:rsidRPr="00B81201">
        <w:rPr>
          <w:rFonts w:cs="Arial"/>
        </w:rPr>
        <w:t>HAI patient days across all inpatient locations (FacWideIN). You can find the detailed breakdown of percent difference by location type in the table shown below.</w:t>
      </w:r>
    </w:p>
    <w:p w14:paraId="3BE1C4BA" w14:textId="77777777" w:rsidR="00B81201" w:rsidRPr="00B81201" w:rsidRDefault="00B81201" w:rsidP="00C12D3A">
      <w:pPr>
        <w:spacing w:before="0" w:after="0" w:line="240" w:lineRule="auto"/>
        <w:rPr>
          <w:rFonts w:cs="Arial"/>
        </w:rPr>
      </w:pPr>
    </w:p>
    <w:p w14:paraId="3B753CCF" w14:textId="6142DCB3" w:rsidR="00B81201" w:rsidRDefault="00B81201" w:rsidP="00C12D3A">
      <w:pPr>
        <w:pStyle w:val="NoSpacing"/>
      </w:pPr>
      <w:r w:rsidRPr="00B81201">
        <w:rPr>
          <w:rFonts w:ascii="Arial" w:hAnsi="Arial" w:cs="Arial"/>
        </w:rPr>
        <w:t>Percent Difference:</w:t>
      </w:r>
      <w:r w:rsidRPr="002D2D40">
        <w:rPr>
          <w:sz w:val="21"/>
          <w:szCs w:val="21"/>
        </w:rPr>
        <w:t xml:space="preserve"> </w:t>
      </w:r>
      <m:oMath>
        <m:f>
          <m:fPr>
            <m:ctrlPr>
              <w:rPr>
                <w:rFonts w:ascii="Cambria Math" w:hAnsi="Cambria Math" w:cs="Arial"/>
                <w:i/>
              </w:rPr>
            </m:ctrlPr>
          </m:fPr>
          <m:num>
            <m:r>
              <w:rPr>
                <w:rFonts w:ascii="Cambria Math" w:hAnsi="Cambria Math" w:cs="Arial"/>
              </w:rPr>
              <m:t>(AU Days Present - HAI Patient Days)</m:t>
            </m:r>
          </m:num>
          <m:den>
            <m:r>
              <w:rPr>
                <w:rFonts w:ascii="Cambria Math" w:hAnsi="Cambria Math" w:cs="Arial"/>
              </w:rPr>
              <m:t>AU Days Present</m:t>
            </m:r>
          </m:den>
        </m:f>
        <m:r>
          <w:rPr>
            <w:rFonts w:ascii="Cambria Math" w:hAnsi="Cambria Math" w:cs="Arial"/>
          </w:rPr>
          <m:t xml:space="preserve"> ×100</m:t>
        </m:r>
      </m:oMath>
    </w:p>
    <w:p w14:paraId="518D8850" w14:textId="77777777" w:rsidR="002D2025" w:rsidRDefault="002D2025" w:rsidP="00C12D3A">
      <w:pPr>
        <w:spacing w:before="0" w:after="160" w:line="278" w:lineRule="auto"/>
        <w:rPr>
          <w:b/>
          <w:bCs/>
        </w:rPr>
      </w:pPr>
      <w:r>
        <w:rPr>
          <w:b/>
          <w:bCs/>
        </w:rPr>
        <w:br w:type="page"/>
      </w:r>
    </w:p>
    <w:p w14:paraId="2D81A9A6" w14:textId="5B6F228E" w:rsidR="00B81201" w:rsidRDefault="00B81201" w:rsidP="00C12D3A">
      <w:pPr>
        <w:spacing w:before="0" w:after="0" w:line="240" w:lineRule="auto"/>
        <w:rPr>
          <w:b/>
          <w:bCs/>
        </w:rPr>
      </w:pPr>
      <w:r w:rsidRPr="00B07FFE">
        <w:rPr>
          <w:b/>
          <w:bCs/>
        </w:rPr>
        <w:lastRenderedPageBreak/>
        <w:t>NHSN-Calculated Percent Difference using nationally reported AU and HAI</w:t>
      </w:r>
      <w:r>
        <w:rPr>
          <w:b/>
          <w:bCs/>
        </w:rPr>
        <w:t xml:space="preserve"> </w:t>
      </w:r>
      <w:r w:rsidRPr="00B07FFE">
        <w:rPr>
          <w:b/>
          <w:bCs/>
        </w:rPr>
        <w:t>data</w:t>
      </w:r>
      <w:r>
        <w:rPr>
          <w:b/>
          <w:bCs/>
        </w:rPr>
        <w:t xml:space="preserve"> for 2024</w:t>
      </w:r>
    </w:p>
    <w:p w14:paraId="240863D5" w14:textId="77777777" w:rsidR="00763EB6" w:rsidRDefault="00763EB6" w:rsidP="00C12D3A">
      <w:pPr>
        <w:spacing w:before="0" w:after="0" w:line="240" w:lineRule="auto"/>
        <w:rPr>
          <w:b/>
          <w:bCs/>
        </w:rPr>
      </w:pPr>
    </w:p>
    <w:tbl>
      <w:tblPr>
        <w:tblStyle w:val="ListTable4-Accent1"/>
        <w:tblW w:w="9810" w:type="dxa"/>
        <w:tblInd w:w="-5" w:type="dxa"/>
        <w:tblLook w:val="04A0" w:firstRow="1" w:lastRow="0" w:firstColumn="1" w:lastColumn="0" w:noHBand="0" w:noVBand="1"/>
      </w:tblPr>
      <w:tblGrid>
        <w:gridCol w:w="3060"/>
        <w:gridCol w:w="1980"/>
        <w:gridCol w:w="4770"/>
      </w:tblGrid>
      <w:tr w:rsidR="00B81201" w:rsidRPr="007E2988" w14:paraId="163F5E17" w14:textId="77777777" w:rsidTr="00763EB6">
        <w:trPr>
          <w:cnfStyle w:val="100000000000" w:firstRow="1" w:lastRow="0" w:firstColumn="0" w:lastColumn="0" w:oddVBand="0" w:evenVBand="0" w:oddHBand="0"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3060" w:type="dxa"/>
            <w:hideMark/>
          </w:tcPr>
          <w:p w14:paraId="3CCAA5CE" w14:textId="77777777" w:rsidR="00B81201" w:rsidRPr="00B81201" w:rsidRDefault="00B81201" w:rsidP="00C12D3A">
            <w:pPr>
              <w:spacing w:before="0" w:after="0" w:line="240" w:lineRule="auto"/>
              <w:rPr>
                <w:color w:val="FFFFFF" w:themeColor="background1"/>
                <w:szCs w:val="21"/>
              </w:rPr>
            </w:pPr>
            <w:r w:rsidRPr="00B81201">
              <w:rPr>
                <w:color w:val="FFFFFF" w:themeColor="background1"/>
                <w:szCs w:val="21"/>
              </w:rPr>
              <w:t>Location Type</w:t>
            </w:r>
          </w:p>
        </w:tc>
        <w:tc>
          <w:tcPr>
            <w:tcW w:w="1980" w:type="dxa"/>
            <w:hideMark/>
          </w:tcPr>
          <w:p w14:paraId="4547B510" w14:textId="77777777" w:rsidR="00B81201" w:rsidRPr="00B81201" w:rsidRDefault="00B81201" w:rsidP="00C12D3A">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Cs w:val="21"/>
              </w:rPr>
            </w:pPr>
            <w:r w:rsidRPr="00B81201">
              <w:rPr>
                <w:color w:val="FFFFFF" w:themeColor="background1"/>
                <w:szCs w:val="21"/>
              </w:rPr>
              <w:t>90</w:t>
            </w:r>
            <w:r w:rsidRPr="00B81201">
              <w:rPr>
                <w:color w:val="FFFFFF" w:themeColor="background1"/>
                <w:szCs w:val="21"/>
                <w:vertAlign w:val="superscript"/>
              </w:rPr>
              <w:t>th</w:t>
            </w:r>
            <w:r w:rsidRPr="00B81201">
              <w:rPr>
                <w:color w:val="FFFFFF" w:themeColor="background1"/>
                <w:szCs w:val="21"/>
              </w:rPr>
              <w:t xml:space="preserve"> Percentile of Percent Differences</w:t>
            </w:r>
          </w:p>
        </w:tc>
        <w:tc>
          <w:tcPr>
            <w:tcW w:w="4770" w:type="dxa"/>
            <w:hideMark/>
          </w:tcPr>
          <w:p w14:paraId="6AFA0FDC" w14:textId="77777777" w:rsidR="00B81201" w:rsidRPr="00B81201" w:rsidRDefault="00B81201" w:rsidP="00C12D3A">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Cs w:val="21"/>
              </w:rPr>
            </w:pPr>
            <w:r w:rsidRPr="00B81201">
              <w:rPr>
                <w:color w:val="FFFFFF" w:themeColor="background1"/>
                <w:szCs w:val="21"/>
              </w:rPr>
              <w:t>Interpretation</w:t>
            </w:r>
          </w:p>
        </w:tc>
      </w:tr>
      <w:tr w:rsidR="00A25F63" w:rsidRPr="007E2988" w14:paraId="756CF635" w14:textId="77777777" w:rsidTr="00763EB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060" w:type="dxa"/>
          </w:tcPr>
          <w:p w14:paraId="0D5B4841" w14:textId="101229EC" w:rsidR="00A25F63" w:rsidRPr="007E2988" w:rsidRDefault="00A25F63" w:rsidP="00C12D3A">
            <w:pPr>
              <w:spacing w:before="0" w:after="0" w:line="240" w:lineRule="auto"/>
              <w:rPr>
                <w:szCs w:val="21"/>
              </w:rPr>
            </w:pPr>
            <w:r>
              <w:rPr>
                <w:szCs w:val="21"/>
              </w:rPr>
              <w:t>FacWideIN</w:t>
            </w:r>
          </w:p>
        </w:tc>
        <w:tc>
          <w:tcPr>
            <w:tcW w:w="1980" w:type="dxa"/>
          </w:tcPr>
          <w:p w14:paraId="01EFAE26" w14:textId="5F39615E"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42%</w:t>
            </w:r>
          </w:p>
        </w:tc>
        <w:tc>
          <w:tcPr>
            <w:tcW w:w="4770" w:type="dxa"/>
          </w:tcPr>
          <w:p w14:paraId="62F894AF" w14:textId="37592D4A"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Most facilities (90%) had a difference of &lt;42%.</w:t>
            </w:r>
          </w:p>
        </w:tc>
      </w:tr>
      <w:tr w:rsidR="00A25F63" w:rsidRPr="007E2988" w14:paraId="6408553A" w14:textId="77777777" w:rsidTr="00763EB6">
        <w:trPr>
          <w:trHeight w:val="432"/>
        </w:trPr>
        <w:tc>
          <w:tcPr>
            <w:cnfStyle w:val="001000000000" w:firstRow="0" w:lastRow="0" w:firstColumn="1" w:lastColumn="0" w:oddVBand="0" w:evenVBand="0" w:oddHBand="0" w:evenHBand="0" w:firstRowFirstColumn="0" w:firstRowLastColumn="0" w:lastRowFirstColumn="0" w:lastRowLastColumn="0"/>
            <w:tcW w:w="3060" w:type="dxa"/>
          </w:tcPr>
          <w:p w14:paraId="73DCA503" w14:textId="6F8BFB49" w:rsidR="00A25F63" w:rsidRPr="007E2988" w:rsidRDefault="00A25F63" w:rsidP="00C12D3A">
            <w:pPr>
              <w:spacing w:before="0" w:after="0" w:line="240" w:lineRule="auto"/>
              <w:rPr>
                <w:szCs w:val="21"/>
              </w:rPr>
            </w:pPr>
            <w:r w:rsidRPr="007E2988">
              <w:rPr>
                <w:szCs w:val="21"/>
              </w:rPr>
              <w:t>Adult ICUs</w:t>
            </w:r>
          </w:p>
        </w:tc>
        <w:tc>
          <w:tcPr>
            <w:tcW w:w="1980" w:type="dxa"/>
          </w:tcPr>
          <w:p w14:paraId="72B354DB" w14:textId="683407E4"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35%</w:t>
            </w:r>
          </w:p>
        </w:tc>
        <w:tc>
          <w:tcPr>
            <w:tcW w:w="4770" w:type="dxa"/>
          </w:tcPr>
          <w:p w14:paraId="64CB3DA2" w14:textId="2F1FB715"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Most facilities (90%) had a difference of &lt;35%.</w:t>
            </w:r>
          </w:p>
        </w:tc>
      </w:tr>
      <w:tr w:rsidR="00A25F63" w:rsidRPr="007E2988" w14:paraId="462BA3F6" w14:textId="77777777" w:rsidTr="00763EB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060" w:type="dxa"/>
            <w:hideMark/>
          </w:tcPr>
          <w:p w14:paraId="7E088E60" w14:textId="77777777" w:rsidR="00A25F63" w:rsidRPr="007E2988" w:rsidRDefault="00A25F63" w:rsidP="00C12D3A">
            <w:pPr>
              <w:spacing w:before="0" w:after="0" w:line="240" w:lineRule="auto"/>
              <w:rPr>
                <w:szCs w:val="21"/>
              </w:rPr>
            </w:pPr>
            <w:r w:rsidRPr="007E2988">
              <w:rPr>
                <w:szCs w:val="21"/>
              </w:rPr>
              <w:t>Adult Wards</w:t>
            </w:r>
          </w:p>
        </w:tc>
        <w:tc>
          <w:tcPr>
            <w:tcW w:w="1980" w:type="dxa"/>
            <w:hideMark/>
          </w:tcPr>
          <w:p w14:paraId="294AE85F" w14:textId="77777777"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37%</w:t>
            </w:r>
          </w:p>
        </w:tc>
        <w:tc>
          <w:tcPr>
            <w:tcW w:w="4770" w:type="dxa"/>
            <w:hideMark/>
          </w:tcPr>
          <w:p w14:paraId="39C142C7" w14:textId="77777777"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Most facilities (90%) had a difference of &lt;37%.</w:t>
            </w:r>
          </w:p>
        </w:tc>
      </w:tr>
      <w:tr w:rsidR="00A25F63" w:rsidRPr="007E2988" w14:paraId="3ED638C1" w14:textId="77777777" w:rsidTr="00763EB6">
        <w:trPr>
          <w:trHeight w:val="432"/>
        </w:trPr>
        <w:tc>
          <w:tcPr>
            <w:cnfStyle w:val="001000000000" w:firstRow="0" w:lastRow="0" w:firstColumn="1" w:lastColumn="0" w:oddVBand="0" w:evenVBand="0" w:oddHBand="0" w:evenHBand="0" w:firstRowFirstColumn="0" w:firstRowLastColumn="0" w:lastRowFirstColumn="0" w:lastRowLastColumn="0"/>
            <w:tcW w:w="3060" w:type="dxa"/>
            <w:hideMark/>
          </w:tcPr>
          <w:p w14:paraId="133DDBC7" w14:textId="77777777" w:rsidR="00A25F63" w:rsidRPr="007E2988" w:rsidRDefault="00A25F63" w:rsidP="00C12D3A">
            <w:pPr>
              <w:spacing w:before="0" w:after="0" w:line="240" w:lineRule="auto"/>
              <w:rPr>
                <w:szCs w:val="21"/>
              </w:rPr>
            </w:pPr>
            <w:r w:rsidRPr="007E2988">
              <w:rPr>
                <w:szCs w:val="21"/>
              </w:rPr>
              <w:t>Pediatric ICUs</w:t>
            </w:r>
          </w:p>
        </w:tc>
        <w:tc>
          <w:tcPr>
            <w:tcW w:w="1980" w:type="dxa"/>
            <w:hideMark/>
          </w:tcPr>
          <w:p w14:paraId="472518BD" w14:textId="77777777"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39%</w:t>
            </w:r>
          </w:p>
        </w:tc>
        <w:tc>
          <w:tcPr>
            <w:tcW w:w="4770" w:type="dxa"/>
            <w:hideMark/>
          </w:tcPr>
          <w:p w14:paraId="7532F462" w14:textId="77777777"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Most facilities (90%) had a difference of &lt;39%.</w:t>
            </w:r>
          </w:p>
        </w:tc>
      </w:tr>
      <w:tr w:rsidR="00A25F63" w:rsidRPr="007E2988" w14:paraId="078F8828" w14:textId="77777777" w:rsidTr="00763EB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060" w:type="dxa"/>
            <w:hideMark/>
          </w:tcPr>
          <w:p w14:paraId="3B4C2658" w14:textId="77777777" w:rsidR="00A25F63" w:rsidRPr="007E2988" w:rsidRDefault="00A25F63" w:rsidP="00C12D3A">
            <w:pPr>
              <w:spacing w:before="0" w:after="0" w:line="240" w:lineRule="auto"/>
              <w:rPr>
                <w:szCs w:val="21"/>
              </w:rPr>
            </w:pPr>
            <w:r w:rsidRPr="007E2988">
              <w:rPr>
                <w:szCs w:val="21"/>
              </w:rPr>
              <w:t>Pediatric Wards</w:t>
            </w:r>
          </w:p>
        </w:tc>
        <w:tc>
          <w:tcPr>
            <w:tcW w:w="1980" w:type="dxa"/>
            <w:hideMark/>
          </w:tcPr>
          <w:p w14:paraId="7367DCD3" w14:textId="77777777"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49%</w:t>
            </w:r>
          </w:p>
        </w:tc>
        <w:tc>
          <w:tcPr>
            <w:tcW w:w="4770" w:type="dxa"/>
            <w:hideMark/>
          </w:tcPr>
          <w:p w14:paraId="728F8934" w14:textId="77777777"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Most facilities (90%) had a difference of &lt;49%.</w:t>
            </w:r>
          </w:p>
        </w:tc>
      </w:tr>
      <w:tr w:rsidR="00A25F63" w:rsidRPr="007E2988" w14:paraId="2335BD62" w14:textId="77777777" w:rsidTr="00763EB6">
        <w:trPr>
          <w:trHeight w:val="432"/>
        </w:trPr>
        <w:tc>
          <w:tcPr>
            <w:cnfStyle w:val="001000000000" w:firstRow="0" w:lastRow="0" w:firstColumn="1" w:lastColumn="0" w:oddVBand="0" w:evenVBand="0" w:oddHBand="0" w:evenHBand="0" w:firstRowFirstColumn="0" w:firstRowLastColumn="0" w:lastRowFirstColumn="0" w:lastRowLastColumn="0"/>
            <w:tcW w:w="3060" w:type="dxa"/>
            <w:hideMark/>
          </w:tcPr>
          <w:p w14:paraId="2867082D" w14:textId="77777777" w:rsidR="00A25F63" w:rsidRPr="007E2988" w:rsidRDefault="00A25F63" w:rsidP="00C12D3A">
            <w:pPr>
              <w:spacing w:before="0" w:after="0" w:line="240" w:lineRule="auto"/>
              <w:rPr>
                <w:szCs w:val="21"/>
              </w:rPr>
            </w:pPr>
            <w:r w:rsidRPr="007E2988">
              <w:rPr>
                <w:szCs w:val="21"/>
              </w:rPr>
              <w:t>Neonatal ICUs</w:t>
            </w:r>
          </w:p>
        </w:tc>
        <w:tc>
          <w:tcPr>
            <w:tcW w:w="1980" w:type="dxa"/>
            <w:hideMark/>
          </w:tcPr>
          <w:p w14:paraId="13B16F2E" w14:textId="77777777"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18%</w:t>
            </w:r>
          </w:p>
        </w:tc>
        <w:tc>
          <w:tcPr>
            <w:tcW w:w="4770" w:type="dxa"/>
            <w:hideMark/>
          </w:tcPr>
          <w:p w14:paraId="19030078" w14:textId="77777777"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Most facilities (90%) had a difference of &lt;18%.</w:t>
            </w:r>
          </w:p>
        </w:tc>
      </w:tr>
      <w:tr w:rsidR="00A25F63" w:rsidRPr="007E2988" w14:paraId="05D929E0" w14:textId="77777777" w:rsidTr="00763EB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060" w:type="dxa"/>
            <w:hideMark/>
          </w:tcPr>
          <w:p w14:paraId="5FAF1E82" w14:textId="77777777" w:rsidR="00A25F63" w:rsidRPr="007E2988" w:rsidRDefault="00A25F63" w:rsidP="00C12D3A">
            <w:pPr>
              <w:spacing w:before="0" w:after="0" w:line="240" w:lineRule="auto"/>
              <w:rPr>
                <w:szCs w:val="21"/>
              </w:rPr>
            </w:pPr>
            <w:r w:rsidRPr="007E2988">
              <w:rPr>
                <w:szCs w:val="21"/>
              </w:rPr>
              <w:t>Neonatal Step-Down Unit</w:t>
            </w:r>
          </w:p>
        </w:tc>
        <w:tc>
          <w:tcPr>
            <w:tcW w:w="1980" w:type="dxa"/>
            <w:hideMark/>
          </w:tcPr>
          <w:p w14:paraId="5C324D1F" w14:textId="77777777"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44%</w:t>
            </w:r>
          </w:p>
        </w:tc>
        <w:tc>
          <w:tcPr>
            <w:tcW w:w="4770" w:type="dxa"/>
            <w:hideMark/>
          </w:tcPr>
          <w:p w14:paraId="10C58DAF" w14:textId="77777777"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Most facilities (90%) had a difference of &lt;44%.</w:t>
            </w:r>
          </w:p>
        </w:tc>
      </w:tr>
      <w:tr w:rsidR="00A25F63" w:rsidRPr="007E2988" w14:paraId="17168222" w14:textId="77777777" w:rsidTr="00763EB6">
        <w:trPr>
          <w:trHeight w:val="432"/>
        </w:trPr>
        <w:tc>
          <w:tcPr>
            <w:cnfStyle w:val="001000000000" w:firstRow="0" w:lastRow="0" w:firstColumn="1" w:lastColumn="0" w:oddVBand="0" w:evenVBand="0" w:oddHBand="0" w:evenHBand="0" w:firstRowFirstColumn="0" w:firstRowLastColumn="0" w:lastRowFirstColumn="0" w:lastRowLastColumn="0"/>
            <w:tcW w:w="3060" w:type="dxa"/>
            <w:hideMark/>
          </w:tcPr>
          <w:p w14:paraId="77282BCC" w14:textId="77777777" w:rsidR="00A25F63" w:rsidRPr="007E2988" w:rsidRDefault="00A25F63" w:rsidP="00C12D3A">
            <w:pPr>
              <w:spacing w:before="0" w:after="0" w:line="240" w:lineRule="auto"/>
              <w:rPr>
                <w:szCs w:val="21"/>
              </w:rPr>
            </w:pPr>
            <w:r w:rsidRPr="007E2988">
              <w:rPr>
                <w:szCs w:val="21"/>
              </w:rPr>
              <w:t>Well Baby Nursery (Level I)</w:t>
            </w:r>
          </w:p>
        </w:tc>
        <w:tc>
          <w:tcPr>
            <w:tcW w:w="1980" w:type="dxa"/>
            <w:hideMark/>
          </w:tcPr>
          <w:p w14:paraId="5B251E81" w14:textId="77777777"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46%</w:t>
            </w:r>
          </w:p>
        </w:tc>
        <w:tc>
          <w:tcPr>
            <w:tcW w:w="4770" w:type="dxa"/>
            <w:hideMark/>
          </w:tcPr>
          <w:p w14:paraId="3A101C32" w14:textId="77777777"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Most facilities (90%) had a difference of &lt;46%.</w:t>
            </w:r>
          </w:p>
        </w:tc>
      </w:tr>
      <w:tr w:rsidR="00A25F63" w:rsidRPr="007E2988" w14:paraId="7BBD7249" w14:textId="77777777" w:rsidTr="00763EB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060" w:type="dxa"/>
            <w:hideMark/>
          </w:tcPr>
          <w:p w14:paraId="558B0F44" w14:textId="77777777" w:rsidR="00A25F63" w:rsidRPr="007E2988" w:rsidRDefault="00A25F63" w:rsidP="00C12D3A">
            <w:pPr>
              <w:spacing w:before="0" w:after="0" w:line="240" w:lineRule="auto"/>
              <w:rPr>
                <w:szCs w:val="21"/>
              </w:rPr>
            </w:pPr>
            <w:r w:rsidRPr="007E2988">
              <w:rPr>
                <w:szCs w:val="21"/>
              </w:rPr>
              <w:t>Labor, Delivery, Postpartum Units</w:t>
            </w:r>
          </w:p>
        </w:tc>
        <w:tc>
          <w:tcPr>
            <w:tcW w:w="1980" w:type="dxa"/>
            <w:hideMark/>
          </w:tcPr>
          <w:p w14:paraId="52D59764" w14:textId="77777777"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72%</w:t>
            </w:r>
          </w:p>
        </w:tc>
        <w:tc>
          <w:tcPr>
            <w:tcW w:w="4770" w:type="dxa"/>
            <w:hideMark/>
          </w:tcPr>
          <w:p w14:paraId="671DC28C" w14:textId="77777777" w:rsidR="00A25F63" w:rsidRPr="007E2988" w:rsidRDefault="00A25F63" w:rsidP="00C12D3A">
            <w:pPr>
              <w:spacing w:before="0" w:after="0" w:line="240" w:lineRule="auto"/>
              <w:cnfStyle w:val="000000100000" w:firstRow="0" w:lastRow="0" w:firstColumn="0" w:lastColumn="0" w:oddVBand="0" w:evenVBand="0" w:oddHBand="1" w:evenHBand="0" w:firstRowFirstColumn="0" w:firstRowLastColumn="0" w:lastRowFirstColumn="0" w:lastRowLastColumn="0"/>
              <w:rPr>
                <w:szCs w:val="21"/>
              </w:rPr>
            </w:pPr>
            <w:r w:rsidRPr="007E2988">
              <w:rPr>
                <w:szCs w:val="21"/>
              </w:rPr>
              <w:t>Most facilities (90%) had a difference of &lt;72%.</w:t>
            </w:r>
          </w:p>
        </w:tc>
      </w:tr>
      <w:tr w:rsidR="00A25F63" w:rsidRPr="007E2988" w14:paraId="03219A01" w14:textId="77777777" w:rsidTr="00763EB6">
        <w:trPr>
          <w:trHeight w:val="432"/>
        </w:trPr>
        <w:tc>
          <w:tcPr>
            <w:cnfStyle w:val="001000000000" w:firstRow="0" w:lastRow="0" w:firstColumn="1" w:lastColumn="0" w:oddVBand="0" w:evenVBand="0" w:oddHBand="0" w:evenHBand="0" w:firstRowFirstColumn="0" w:firstRowLastColumn="0" w:lastRowFirstColumn="0" w:lastRowLastColumn="0"/>
            <w:tcW w:w="3060" w:type="dxa"/>
            <w:hideMark/>
          </w:tcPr>
          <w:p w14:paraId="2DD65D45" w14:textId="1160A445" w:rsidR="00A25F63" w:rsidRPr="007E2988" w:rsidRDefault="00A25F63" w:rsidP="00C12D3A">
            <w:pPr>
              <w:spacing w:before="0" w:after="0" w:line="240" w:lineRule="auto"/>
              <w:rPr>
                <w:szCs w:val="21"/>
              </w:rPr>
            </w:pPr>
            <w:r w:rsidRPr="007E2988">
              <w:rPr>
                <w:szCs w:val="21"/>
              </w:rPr>
              <w:t>Outpatient Locations</w:t>
            </w:r>
            <w:r w:rsidRPr="007E2988">
              <w:rPr>
                <w:szCs w:val="21"/>
              </w:rPr>
              <w:br/>
              <w:t>(ED, Pediatric ED, 24</w:t>
            </w:r>
            <w:r w:rsidR="00616ED1">
              <w:rPr>
                <w:szCs w:val="21"/>
              </w:rPr>
              <w:t>-</w:t>
            </w:r>
            <w:r w:rsidRPr="007E2988">
              <w:rPr>
                <w:szCs w:val="21"/>
              </w:rPr>
              <w:t>Hour Observation Locations)</w:t>
            </w:r>
          </w:p>
        </w:tc>
        <w:tc>
          <w:tcPr>
            <w:tcW w:w="1980" w:type="dxa"/>
            <w:hideMark/>
          </w:tcPr>
          <w:p w14:paraId="13C4F88F" w14:textId="77777777"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70%</w:t>
            </w:r>
          </w:p>
        </w:tc>
        <w:tc>
          <w:tcPr>
            <w:tcW w:w="4770" w:type="dxa"/>
            <w:hideMark/>
          </w:tcPr>
          <w:p w14:paraId="06804D49" w14:textId="77777777" w:rsidR="00A25F63" w:rsidRPr="007E2988" w:rsidRDefault="00A25F63" w:rsidP="00C12D3A">
            <w:pPr>
              <w:spacing w:before="0" w:after="0" w:line="240" w:lineRule="auto"/>
              <w:cnfStyle w:val="000000000000" w:firstRow="0" w:lastRow="0" w:firstColumn="0" w:lastColumn="0" w:oddVBand="0" w:evenVBand="0" w:oddHBand="0" w:evenHBand="0" w:firstRowFirstColumn="0" w:firstRowLastColumn="0" w:lastRowFirstColumn="0" w:lastRowLastColumn="0"/>
              <w:rPr>
                <w:szCs w:val="21"/>
              </w:rPr>
            </w:pPr>
            <w:r w:rsidRPr="007E2988">
              <w:rPr>
                <w:szCs w:val="21"/>
              </w:rPr>
              <w:t>Most facilities (90%) had a difference of &lt;70%.</w:t>
            </w:r>
          </w:p>
        </w:tc>
      </w:tr>
    </w:tbl>
    <w:p w14:paraId="7C181130" w14:textId="77777777" w:rsidR="00B81201" w:rsidRDefault="00B81201" w:rsidP="0079371A">
      <w:pPr>
        <w:pStyle w:val="BulletsCDC"/>
        <w:numPr>
          <w:ilvl w:val="0"/>
          <w:numId w:val="0"/>
        </w:numPr>
        <w:spacing w:after="0" w:line="240" w:lineRule="auto"/>
        <w:ind w:right="0"/>
        <w:rPr>
          <w:rFonts w:cs="Arial"/>
          <w:szCs w:val="22"/>
        </w:rPr>
      </w:pPr>
    </w:p>
    <w:p w14:paraId="31F76769" w14:textId="43D7D47C" w:rsidR="00B81201" w:rsidRDefault="00B81201" w:rsidP="00C12D3A">
      <w:pPr>
        <w:pStyle w:val="Heading4"/>
        <w:spacing w:before="0" w:after="0" w:line="240" w:lineRule="auto"/>
        <w:rPr>
          <w:b/>
          <w:i w:val="0"/>
          <w:iCs w:val="0"/>
          <w:sz w:val="26"/>
        </w:rPr>
      </w:pPr>
      <w:r w:rsidRPr="00B81201">
        <w:rPr>
          <w:b/>
          <w:i w:val="0"/>
          <w:iCs w:val="0"/>
          <w:sz w:val="26"/>
        </w:rPr>
        <w:t xml:space="preserve">AU days present </w:t>
      </w:r>
      <w:r w:rsidR="00242710">
        <w:rPr>
          <w:b/>
          <w:i w:val="0"/>
          <w:iCs w:val="0"/>
          <w:sz w:val="26"/>
        </w:rPr>
        <w:t>and</w:t>
      </w:r>
      <w:r w:rsidRPr="00B81201">
        <w:rPr>
          <w:b/>
          <w:i w:val="0"/>
          <w:iCs w:val="0"/>
          <w:sz w:val="26"/>
        </w:rPr>
        <w:t xml:space="preserve"> </w:t>
      </w:r>
      <w:r w:rsidR="0013093C">
        <w:rPr>
          <w:b/>
          <w:i w:val="0"/>
          <w:iCs w:val="0"/>
          <w:sz w:val="26"/>
        </w:rPr>
        <w:t>HAI Device Associated</w:t>
      </w:r>
      <w:r w:rsidR="0013093C" w:rsidRPr="00B81201">
        <w:rPr>
          <w:b/>
          <w:i w:val="0"/>
          <w:iCs w:val="0"/>
          <w:sz w:val="26"/>
        </w:rPr>
        <w:t xml:space="preserve"> </w:t>
      </w:r>
      <w:r w:rsidRPr="00B81201">
        <w:rPr>
          <w:b/>
          <w:i w:val="0"/>
          <w:iCs w:val="0"/>
          <w:sz w:val="26"/>
        </w:rPr>
        <w:t>patient days for a selection of locations</w:t>
      </w:r>
    </w:p>
    <w:p w14:paraId="1C1EA4CA" w14:textId="77777777" w:rsidR="00763EB6" w:rsidRDefault="00763EB6" w:rsidP="00C12D3A">
      <w:pPr>
        <w:spacing w:before="0" w:after="0" w:line="240" w:lineRule="auto"/>
      </w:pPr>
    </w:p>
    <w:p w14:paraId="78DA2162" w14:textId="013540E8" w:rsidR="00763EB6" w:rsidRPr="00B81201" w:rsidRDefault="00763EB6" w:rsidP="00C12D3A">
      <w:pPr>
        <w:pStyle w:val="NoSpacing"/>
        <w:rPr>
          <w:rFonts w:ascii="Arial" w:hAnsi="Arial" w:cs="Arial"/>
        </w:rPr>
      </w:pPr>
      <w:r w:rsidRPr="00B81201">
        <w:rPr>
          <w:rFonts w:ascii="Arial" w:hAnsi="Arial" w:cs="Arial"/>
        </w:rPr>
        <w:t xml:space="preserve">Compare the AU days present and HAI patient days and percent difference for each location listed </w:t>
      </w:r>
      <w:r>
        <w:rPr>
          <w:rFonts w:ascii="Arial" w:hAnsi="Arial" w:cs="Arial"/>
        </w:rPr>
        <w:t>below</w:t>
      </w:r>
      <w:r w:rsidRPr="00B81201">
        <w:rPr>
          <w:rFonts w:ascii="Arial" w:hAnsi="Arial" w:cs="Arial"/>
        </w:rPr>
        <w:t>.</w:t>
      </w:r>
    </w:p>
    <w:p w14:paraId="43E665BF" w14:textId="77777777" w:rsidR="00763EB6" w:rsidRPr="00763EB6" w:rsidRDefault="00763EB6" w:rsidP="00C12D3A">
      <w:pPr>
        <w:spacing w:before="0" w:after="0" w:line="240" w:lineRule="auto"/>
      </w:pPr>
    </w:p>
    <w:tbl>
      <w:tblPr>
        <w:tblStyle w:val="TableGrid"/>
        <w:tblW w:w="0" w:type="auto"/>
        <w:jc w:val="center"/>
        <w:tblLook w:val="04A0" w:firstRow="1" w:lastRow="0" w:firstColumn="1" w:lastColumn="0" w:noHBand="0" w:noVBand="1"/>
      </w:tblPr>
      <w:tblGrid>
        <w:gridCol w:w="1650"/>
        <w:gridCol w:w="1651"/>
        <w:gridCol w:w="1651"/>
        <w:gridCol w:w="1651"/>
        <w:gridCol w:w="1651"/>
        <w:gridCol w:w="1651"/>
      </w:tblGrid>
      <w:tr w:rsidR="00CC1DE9" w14:paraId="1E97D39E" w14:textId="77777777" w:rsidTr="00CC1DE9">
        <w:trPr>
          <w:jc w:val="center"/>
        </w:trPr>
        <w:tc>
          <w:tcPr>
            <w:tcW w:w="1650" w:type="dxa"/>
            <w:vAlign w:val="center"/>
          </w:tcPr>
          <w:p w14:paraId="29E02D9C" w14:textId="77777777" w:rsidR="00B81201" w:rsidRPr="00A318FB" w:rsidRDefault="00B81201" w:rsidP="00C12D3A">
            <w:pPr>
              <w:spacing w:before="0" w:after="0" w:line="240" w:lineRule="auto"/>
            </w:pPr>
            <w:r w:rsidRPr="00A318FB">
              <w:rPr>
                <w:rFonts w:cs="Arial"/>
                <w:b/>
              </w:rPr>
              <w:t>Month/Year</w:t>
            </w:r>
          </w:p>
        </w:tc>
        <w:tc>
          <w:tcPr>
            <w:tcW w:w="1651" w:type="dxa"/>
            <w:vAlign w:val="center"/>
          </w:tcPr>
          <w:p w14:paraId="18428F3E" w14:textId="77777777" w:rsidR="00B81201" w:rsidRPr="00A318FB" w:rsidRDefault="00B81201" w:rsidP="00C12D3A">
            <w:pPr>
              <w:spacing w:before="0" w:after="0" w:line="240" w:lineRule="auto"/>
              <w:rPr>
                <w:rFonts w:cs="Arial"/>
                <w:b/>
              </w:rPr>
            </w:pPr>
            <w:r w:rsidRPr="00A318FB">
              <w:rPr>
                <w:rFonts w:cs="Arial"/>
                <w:b/>
              </w:rPr>
              <w:t>Location Name</w:t>
            </w:r>
          </w:p>
        </w:tc>
        <w:tc>
          <w:tcPr>
            <w:tcW w:w="1651" w:type="dxa"/>
            <w:vAlign w:val="center"/>
          </w:tcPr>
          <w:p w14:paraId="4C7E01A2" w14:textId="77777777" w:rsidR="00B81201" w:rsidRPr="00DC3BEA" w:rsidRDefault="00B81201" w:rsidP="00C12D3A">
            <w:pPr>
              <w:spacing w:before="0" w:after="0" w:line="240" w:lineRule="auto"/>
              <w:rPr>
                <w:b/>
              </w:rPr>
            </w:pPr>
            <w:r w:rsidRPr="00A910D1">
              <w:rPr>
                <w:b/>
              </w:rPr>
              <w:t xml:space="preserve">Location </w:t>
            </w:r>
            <w:r w:rsidRPr="00DC3BEA">
              <w:rPr>
                <w:b/>
                <w:bCs/>
              </w:rPr>
              <w:t>Type</w:t>
            </w:r>
          </w:p>
        </w:tc>
        <w:tc>
          <w:tcPr>
            <w:tcW w:w="1651" w:type="dxa"/>
            <w:vAlign w:val="center"/>
          </w:tcPr>
          <w:p w14:paraId="191181F7" w14:textId="77777777" w:rsidR="00B81201" w:rsidRPr="00A318FB" w:rsidRDefault="00B81201" w:rsidP="00C12D3A">
            <w:pPr>
              <w:spacing w:before="0" w:after="0" w:line="240" w:lineRule="auto"/>
            </w:pPr>
            <w:r w:rsidRPr="00A318FB">
              <w:rPr>
                <w:rFonts w:cs="Arial"/>
                <w:b/>
              </w:rPr>
              <w:t>Total AU Days Present</w:t>
            </w:r>
          </w:p>
        </w:tc>
        <w:tc>
          <w:tcPr>
            <w:tcW w:w="1651" w:type="dxa"/>
            <w:vAlign w:val="center"/>
          </w:tcPr>
          <w:p w14:paraId="4FB3999A" w14:textId="49FF62DA" w:rsidR="00B81201" w:rsidRPr="00A318FB" w:rsidRDefault="00B81201" w:rsidP="00C12D3A">
            <w:pPr>
              <w:spacing w:before="0" w:after="0" w:line="240" w:lineRule="auto"/>
            </w:pPr>
            <w:r w:rsidRPr="00A318FB">
              <w:rPr>
                <w:rFonts w:cs="Arial"/>
                <w:b/>
              </w:rPr>
              <w:t xml:space="preserve">Total </w:t>
            </w:r>
            <w:r w:rsidR="00661515">
              <w:rPr>
                <w:rFonts w:cs="Arial"/>
                <w:b/>
              </w:rPr>
              <w:t xml:space="preserve">HAI Device Associated </w:t>
            </w:r>
            <w:r w:rsidRPr="00A318FB">
              <w:rPr>
                <w:rFonts w:cs="Arial"/>
                <w:b/>
              </w:rPr>
              <w:t>Patient Days</w:t>
            </w:r>
          </w:p>
        </w:tc>
        <w:tc>
          <w:tcPr>
            <w:tcW w:w="1651" w:type="dxa"/>
          </w:tcPr>
          <w:p w14:paraId="38187D9D" w14:textId="77777777" w:rsidR="00B81201" w:rsidRPr="00A318FB" w:rsidRDefault="00B81201" w:rsidP="00C12D3A">
            <w:pPr>
              <w:spacing w:before="0" w:after="0" w:line="240" w:lineRule="auto"/>
              <w:rPr>
                <w:rFonts w:cs="Arial"/>
                <w:b/>
              </w:rPr>
            </w:pPr>
            <w:r>
              <w:rPr>
                <w:rFonts w:cs="Arial"/>
                <w:b/>
              </w:rPr>
              <w:t>Percent Difference</w:t>
            </w:r>
          </w:p>
        </w:tc>
      </w:tr>
      <w:tr w:rsidR="00CC1DE9" w14:paraId="21A5ACCA" w14:textId="77777777" w:rsidTr="00CC1DE9">
        <w:trPr>
          <w:jc w:val="center"/>
        </w:trPr>
        <w:tc>
          <w:tcPr>
            <w:tcW w:w="1650" w:type="dxa"/>
          </w:tcPr>
          <w:p w14:paraId="419E173C" w14:textId="77777777" w:rsidR="00B81201" w:rsidRDefault="00B81201" w:rsidP="00C12D3A">
            <w:pPr>
              <w:spacing w:before="0" w:after="0" w:line="240" w:lineRule="auto"/>
            </w:pPr>
          </w:p>
        </w:tc>
        <w:tc>
          <w:tcPr>
            <w:tcW w:w="1651" w:type="dxa"/>
          </w:tcPr>
          <w:p w14:paraId="68EE3388" w14:textId="77777777" w:rsidR="00B81201" w:rsidRDefault="00B81201" w:rsidP="00C12D3A">
            <w:pPr>
              <w:spacing w:before="0" w:after="0" w:line="240" w:lineRule="auto"/>
            </w:pPr>
          </w:p>
        </w:tc>
        <w:tc>
          <w:tcPr>
            <w:tcW w:w="1651" w:type="dxa"/>
          </w:tcPr>
          <w:p w14:paraId="153BE756" w14:textId="77777777" w:rsidR="00B81201" w:rsidRDefault="00B81201" w:rsidP="00C12D3A">
            <w:pPr>
              <w:spacing w:before="0" w:after="0" w:line="240" w:lineRule="auto"/>
            </w:pPr>
          </w:p>
        </w:tc>
        <w:tc>
          <w:tcPr>
            <w:tcW w:w="1651" w:type="dxa"/>
          </w:tcPr>
          <w:p w14:paraId="36269C8B" w14:textId="77777777" w:rsidR="00B81201" w:rsidRDefault="00B81201" w:rsidP="00C12D3A">
            <w:pPr>
              <w:spacing w:before="0" w:after="0" w:line="240" w:lineRule="auto"/>
            </w:pPr>
          </w:p>
        </w:tc>
        <w:tc>
          <w:tcPr>
            <w:tcW w:w="1651" w:type="dxa"/>
          </w:tcPr>
          <w:p w14:paraId="02505339" w14:textId="77777777" w:rsidR="00B81201" w:rsidRDefault="00B81201" w:rsidP="00C12D3A">
            <w:pPr>
              <w:spacing w:before="0" w:after="0" w:line="240" w:lineRule="auto"/>
            </w:pPr>
          </w:p>
        </w:tc>
        <w:tc>
          <w:tcPr>
            <w:tcW w:w="1651" w:type="dxa"/>
          </w:tcPr>
          <w:p w14:paraId="5E955333" w14:textId="77777777" w:rsidR="00B81201" w:rsidRDefault="00B81201" w:rsidP="00C12D3A">
            <w:pPr>
              <w:spacing w:before="0" w:after="0" w:line="240" w:lineRule="auto"/>
            </w:pPr>
          </w:p>
        </w:tc>
      </w:tr>
      <w:tr w:rsidR="00CC1DE9" w14:paraId="2273F63D" w14:textId="77777777" w:rsidTr="00CC1DE9">
        <w:trPr>
          <w:jc w:val="center"/>
        </w:trPr>
        <w:tc>
          <w:tcPr>
            <w:tcW w:w="1650" w:type="dxa"/>
          </w:tcPr>
          <w:p w14:paraId="6BE28305" w14:textId="77777777" w:rsidR="00B81201" w:rsidRDefault="00B81201" w:rsidP="00C12D3A">
            <w:pPr>
              <w:spacing w:before="0" w:after="0" w:line="240" w:lineRule="auto"/>
            </w:pPr>
          </w:p>
        </w:tc>
        <w:tc>
          <w:tcPr>
            <w:tcW w:w="1651" w:type="dxa"/>
          </w:tcPr>
          <w:p w14:paraId="6BC93526" w14:textId="77777777" w:rsidR="00B81201" w:rsidRDefault="00B81201" w:rsidP="00C12D3A">
            <w:pPr>
              <w:spacing w:before="0" w:after="0" w:line="240" w:lineRule="auto"/>
            </w:pPr>
          </w:p>
        </w:tc>
        <w:tc>
          <w:tcPr>
            <w:tcW w:w="1651" w:type="dxa"/>
          </w:tcPr>
          <w:p w14:paraId="2108E705" w14:textId="77777777" w:rsidR="00B81201" w:rsidRDefault="00B81201" w:rsidP="00C12D3A">
            <w:pPr>
              <w:spacing w:before="0" w:after="0" w:line="240" w:lineRule="auto"/>
            </w:pPr>
          </w:p>
        </w:tc>
        <w:tc>
          <w:tcPr>
            <w:tcW w:w="1651" w:type="dxa"/>
          </w:tcPr>
          <w:p w14:paraId="6D937A2A" w14:textId="77777777" w:rsidR="00B81201" w:rsidRDefault="00B81201" w:rsidP="00C12D3A">
            <w:pPr>
              <w:spacing w:before="0" w:after="0" w:line="240" w:lineRule="auto"/>
            </w:pPr>
          </w:p>
        </w:tc>
        <w:tc>
          <w:tcPr>
            <w:tcW w:w="1651" w:type="dxa"/>
          </w:tcPr>
          <w:p w14:paraId="4DC284CF" w14:textId="77777777" w:rsidR="00B81201" w:rsidRDefault="00B81201" w:rsidP="00C12D3A">
            <w:pPr>
              <w:spacing w:before="0" w:after="0" w:line="240" w:lineRule="auto"/>
            </w:pPr>
          </w:p>
        </w:tc>
        <w:tc>
          <w:tcPr>
            <w:tcW w:w="1651" w:type="dxa"/>
          </w:tcPr>
          <w:p w14:paraId="3A6DD43D" w14:textId="77777777" w:rsidR="00B81201" w:rsidRDefault="00B81201" w:rsidP="00C12D3A">
            <w:pPr>
              <w:spacing w:before="0" w:after="0" w:line="240" w:lineRule="auto"/>
            </w:pPr>
          </w:p>
        </w:tc>
      </w:tr>
      <w:tr w:rsidR="00CC1DE9" w14:paraId="71754A7A" w14:textId="77777777" w:rsidTr="00CC1DE9">
        <w:trPr>
          <w:jc w:val="center"/>
        </w:trPr>
        <w:tc>
          <w:tcPr>
            <w:tcW w:w="1650" w:type="dxa"/>
          </w:tcPr>
          <w:p w14:paraId="55BA3FFA" w14:textId="77777777" w:rsidR="00B81201" w:rsidRDefault="00B81201" w:rsidP="00C12D3A">
            <w:pPr>
              <w:spacing w:before="0" w:after="0" w:line="240" w:lineRule="auto"/>
            </w:pPr>
          </w:p>
        </w:tc>
        <w:tc>
          <w:tcPr>
            <w:tcW w:w="1651" w:type="dxa"/>
          </w:tcPr>
          <w:p w14:paraId="65352E0A" w14:textId="77777777" w:rsidR="00B81201" w:rsidRDefault="00B81201" w:rsidP="00C12D3A">
            <w:pPr>
              <w:spacing w:before="0" w:after="0" w:line="240" w:lineRule="auto"/>
            </w:pPr>
          </w:p>
        </w:tc>
        <w:tc>
          <w:tcPr>
            <w:tcW w:w="1651" w:type="dxa"/>
          </w:tcPr>
          <w:p w14:paraId="443415C4" w14:textId="77777777" w:rsidR="00B81201" w:rsidRDefault="00B81201" w:rsidP="00C12D3A">
            <w:pPr>
              <w:spacing w:before="0" w:after="0" w:line="240" w:lineRule="auto"/>
            </w:pPr>
          </w:p>
        </w:tc>
        <w:tc>
          <w:tcPr>
            <w:tcW w:w="1651" w:type="dxa"/>
          </w:tcPr>
          <w:p w14:paraId="1D33DBC5" w14:textId="77777777" w:rsidR="00B81201" w:rsidRDefault="00B81201" w:rsidP="00C12D3A">
            <w:pPr>
              <w:spacing w:before="0" w:after="0" w:line="240" w:lineRule="auto"/>
            </w:pPr>
          </w:p>
        </w:tc>
        <w:tc>
          <w:tcPr>
            <w:tcW w:w="1651" w:type="dxa"/>
          </w:tcPr>
          <w:p w14:paraId="6982C6B1" w14:textId="77777777" w:rsidR="00B81201" w:rsidRDefault="00B81201" w:rsidP="00C12D3A">
            <w:pPr>
              <w:spacing w:before="0" w:after="0" w:line="240" w:lineRule="auto"/>
            </w:pPr>
          </w:p>
        </w:tc>
        <w:tc>
          <w:tcPr>
            <w:tcW w:w="1651" w:type="dxa"/>
          </w:tcPr>
          <w:p w14:paraId="590D61FF" w14:textId="77777777" w:rsidR="00B81201" w:rsidRDefault="00B81201" w:rsidP="00C12D3A">
            <w:pPr>
              <w:spacing w:before="0" w:after="0" w:line="240" w:lineRule="auto"/>
            </w:pPr>
          </w:p>
        </w:tc>
      </w:tr>
      <w:tr w:rsidR="00CC1DE9" w14:paraId="7F6A4FB4" w14:textId="77777777" w:rsidTr="00CC1DE9">
        <w:trPr>
          <w:jc w:val="center"/>
        </w:trPr>
        <w:tc>
          <w:tcPr>
            <w:tcW w:w="1650" w:type="dxa"/>
          </w:tcPr>
          <w:p w14:paraId="3BB7182A" w14:textId="77777777" w:rsidR="00B81201" w:rsidRDefault="00B81201" w:rsidP="00C12D3A">
            <w:pPr>
              <w:spacing w:before="0" w:after="0" w:line="240" w:lineRule="auto"/>
            </w:pPr>
          </w:p>
        </w:tc>
        <w:tc>
          <w:tcPr>
            <w:tcW w:w="1651" w:type="dxa"/>
          </w:tcPr>
          <w:p w14:paraId="7A26E82F" w14:textId="77777777" w:rsidR="00B81201" w:rsidRDefault="00B81201" w:rsidP="00C12D3A">
            <w:pPr>
              <w:spacing w:before="0" w:after="0" w:line="240" w:lineRule="auto"/>
            </w:pPr>
          </w:p>
        </w:tc>
        <w:tc>
          <w:tcPr>
            <w:tcW w:w="1651" w:type="dxa"/>
          </w:tcPr>
          <w:p w14:paraId="41A6469D" w14:textId="77777777" w:rsidR="00B81201" w:rsidRDefault="00B81201" w:rsidP="00C12D3A">
            <w:pPr>
              <w:spacing w:before="0" w:after="0" w:line="240" w:lineRule="auto"/>
            </w:pPr>
          </w:p>
        </w:tc>
        <w:tc>
          <w:tcPr>
            <w:tcW w:w="1651" w:type="dxa"/>
          </w:tcPr>
          <w:p w14:paraId="22EFD279" w14:textId="77777777" w:rsidR="00B81201" w:rsidRDefault="00B81201" w:rsidP="00C12D3A">
            <w:pPr>
              <w:spacing w:before="0" w:after="0" w:line="240" w:lineRule="auto"/>
            </w:pPr>
          </w:p>
        </w:tc>
        <w:tc>
          <w:tcPr>
            <w:tcW w:w="1651" w:type="dxa"/>
          </w:tcPr>
          <w:p w14:paraId="656A32D6" w14:textId="77777777" w:rsidR="00B81201" w:rsidRDefault="00B81201" w:rsidP="00C12D3A">
            <w:pPr>
              <w:spacing w:before="0" w:after="0" w:line="240" w:lineRule="auto"/>
            </w:pPr>
          </w:p>
        </w:tc>
        <w:tc>
          <w:tcPr>
            <w:tcW w:w="1651" w:type="dxa"/>
          </w:tcPr>
          <w:p w14:paraId="362D3580" w14:textId="77777777" w:rsidR="00B81201" w:rsidRDefault="00B81201" w:rsidP="00C12D3A">
            <w:pPr>
              <w:spacing w:before="0" w:after="0" w:line="240" w:lineRule="auto"/>
            </w:pPr>
          </w:p>
        </w:tc>
      </w:tr>
      <w:tr w:rsidR="00CC1DE9" w14:paraId="57AB21CD" w14:textId="77777777" w:rsidTr="00CC1DE9">
        <w:trPr>
          <w:jc w:val="center"/>
        </w:trPr>
        <w:tc>
          <w:tcPr>
            <w:tcW w:w="1650" w:type="dxa"/>
          </w:tcPr>
          <w:p w14:paraId="2C80B549" w14:textId="77777777" w:rsidR="00B81201" w:rsidRDefault="00B81201" w:rsidP="00C12D3A">
            <w:pPr>
              <w:spacing w:before="0" w:after="0" w:line="240" w:lineRule="auto"/>
            </w:pPr>
          </w:p>
        </w:tc>
        <w:tc>
          <w:tcPr>
            <w:tcW w:w="1651" w:type="dxa"/>
          </w:tcPr>
          <w:p w14:paraId="60B785F6" w14:textId="77777777" w:rsidR="00B81201" w:rsidRDefault="00B81201" w:rsidP="00C12D3A">
            <w:pPr>
              <w:spacing w:before="0" w:after="0" w:line="240" w:lineRule="auto"/>
            </w:pPr>
          </w:p>
        </w:tc>
        <w:tc>
          <w:tcPr>
            <w:tcW w:w="1651" w:type="dxa"/>
          </w:tcPr>
          <w:p w14:paraId="7B9B2367" w14:textId="77777777" w:rsidR="00B81201" w:rsidRDefault="00B81201" w:rsidP="00C12D3A">
            <w:pPr>
              <w:spacing w:before="0" w:after="0" w:line="240" w:lineRule="auto"/>
            </w:pPr>
          </w:p>
        </w:tc>
        <w:tc>
          <w:tcPr>
            <w:tcW w:w="1651" w:type="dxa"/>
          </w:tcPr>
          <w:p w14:paraId="09AA1BFC" w14:textId="77777777" w:rsidR="00B81201" w:rsidRDefault="00B81201" w:rsidP="00C12D3A">
            <w:pPr>
              <w:spacing w:before="0" w:after="0" w:line="240" w:lineRule="auto"/>
            </w:pPr>
          </w:p>
        </w:tc>
        <w:tc>
          <w:tcPr>
            <w:tcW w:w="1651" w:type="dxa"/>
          </w:tcPr>
          <w:p w14:paraId="5E0045DF" w14:textId="77777777" w:rsidR="00B81201" w:rsidRDefault="00B81201" w:rsidP="00C12D3A">
            <w:pPr>
              <w:spacing w:before="0" w:after="0" w:line="240" w:lineRule="auto"/>
            </w:pPr>
          </w:p>
        </w:tc>
        <w:tc>
          <w:tcPr>
            <w:tcW w:w="1651" w:type="dxa"/>
          </w:tcPr>
          <w:p w14:paraId="4B85661C" w14:textId="77777777" w:rsidR="00B81201" w:rsidRDefault="00B81201" w:rsidP="00C12D3A">
            <w:pPr>
              <w:spacing w:before="0" w:after="0" w:line="240" w:lineRule="auto"/>
            </w:pPr>
          </w:p>
        </w:tc>
      </w:tr>
    </w:tbl>
    <w:p w14:paraId="5D51C314" w14:textId="77777777" w:rsidR="00B81201" w:rsidRPr="00B81201" w:rsidRDefault="00B81201" w:rsidP="00C12D3A">
      <w:pPr>
        <w:pStyle w:val="NoSpacing"/>
        <w:rPr>
          <w:rFonts w:ascii="Arial" w:hAnsi="Arial" w:cs="Arial"/>
        </w:rPr>
      </w:pPr>
    </w:p>
    <w:p w14:paraId="24B5C935" w14:textId="77777777" w:rsidR="00B81201" w:rsidRPr="00B81201" w:rsidRDefault="00B81201" w:rsidP="00C12D3A">
      <w:pPr>
        <w:pStyle w:val="NoSpacing"/>
        <w:numPr>
          <w:ilvl w:val="0"/>
          <w:numId w:val="16"/>
        </w:numPr>
        <w:ind w:left="720"/>
        <w:rPr>
          <w:rFonts w:ascii="Arial" w:hAnsi="Arial" w:cs="Arial"/>
        </w:rPr>
      </w:pPr>
      <w:r w:rsidRPr="00B81201">
        <w:rPr>
          <w:rFonts w:ascii="Arial" w:hAnsi="Arial" w:cs="Arial"/>
        </w:rPr>
        <w:t xml:space="preserve">If the </w:t>
      </w:r>
      <w:proofErr w:type="gramStart"/>
      <w:r w:rsidRPr="00B81201">
        <w:rPr>
          <w:rFonts w:ascii="Arial" w:hAnsi="Arial" w:cs="Arial"/>
        </w:rPr>
        <w:t>percent</w:t>
      </w:r>
      <w:proofErr w:type="gramEnd"/>
      <w:r w:rsidRPr="00B81201">
        <w:rPr>
          <w:rFonts w:ascii="Arial" w:hAnsi="Arial" w:cs="Arial"/>
        </w:rPr>
        <w:t xml:space="preserve"> difference is </w:t>
      </w:r>
      <w:r w:rsidRPr="00D61984">
        <w:rPr>
          <w:rFonts w:ascii="Arial" w:hAnsi="Arial" w:cs="Arial"/>
          <w:b/>
          <w:bCs/>
        </w:rPr>
        <w:t>considerably higher than the 90</w:t>
      </w:r>
      <w:r w:rsidRPr="00D61984">
        <w:rPr>
          <w:rFonts w:ascii="Arial" w:hAnsi="Arial" w:cs="Arial"/>
          <w:b/>
          <w:bCs/>
          <w:vertAlign w:val="superscript"/>
        </w:rPr>
        <w:t>th</w:t>
      </w:r>
      <w:r w:rsidRPr="00D61984">
        <w:rPr>
          <w:rFonts w:ascii="Arial" w:hAnsi="Arial" w:cs="Arial"/>
          <w:b/>
          <w:bCs/>
        </w:rPr>
        <w:t xml:space="preserve"> percentile</w:t>
      </w:r>
      <w:r w:rsidRPr="00B81201">
        <w:rPr>
          <w:rFonts w:ascii="Arial" w:hAnsi="Arial" w:cs="Arial"/>
        </w:rPr>
        <w:t xml:space="preserve"> for a certain location type displayed in the Percent Difference Table above, consider discussing the denominator counts with your vendor. Check for double counting (for AU reporting, the vendor system should count a patient only once per location per day).</w:t>
      </w:r>
    </w:p>
    <w:p w14:paraId="6CF4C227" w14:textId="77777777" w:rsidR="00B81201" w:rsidRPr="00B81201" w:rsidRDefault="00B81201" w:rsidP="0079371A">
      <w:pPr>
        <w:pStyle w:val="NoSpacing"/>
        <w:rPr>
          <w:rFonts w:ascii="Arial" w:hAnsi="Arial" w:cs="Arial"/>
        </w:rPr>
      </w:pPr>
    </w:p>
    <w:p w14:paraId="04C95273" w14:textId="0A695E10" w:rsidR="00B81201" w:rsidRPr="00B81201" w:rsidRDefault="00B81201" w:rsidP="00C12D3A">
      <w:pPr>
        <w:pStyle w:val="NoSpacing"/>
        <w:numPr>
          <w:ilvl w:val="0"/>
          <w:numId w:val="16"/>
        </w:numPr>
        <w:ind w:left="720"/>
        <w:rPr>
          <w:rFonts w:ascii="Arial" w:hAnsi="Arial" w:cs="Arial"/>
        </w:rPr>
      </w:pPr>
      <w:r w:rsidRPr="00B81201">
        <w:rPr>
          <w:rFonts w:ascii="Arial" w:hAnsi="Arial" w:cs="Arial"/>
        </w:rPr>
        <w:t xml:space="preserve">If AU days present are </w:t>
      </w:r>
      <w:r w:rsidRPr="00D61984">
        <w:rPr>
          <w:rFonts w:ascii="Arial" w:hAnsi="Arial" w:cs="Arial"/>
          <w:b/>
          <w:bCs/>
        </w:rPr>
        <w:t>equal</w:t>
      </w:r>
      <w:r w:rsidRPr="00B81201">
        <w:rPr>
          <w:rFonts w:ascii="Arial" w:hAnsi="Arial" w:cs="Arial"/>
        </w:rPr>
        <w:t xml:space="preserve"> to or </w:t>
      </w:r>
      <w:r w:rsidRPr="00D61984">
        <w:rPr>
          <w:rFonts w:ascii="Arial" w:hAnsi="Arial" w:cs="Arial"/>
          <w:b/>
          <w:bCs/>
        </w:rPr>
        <w:t>lower</w:t>
      </w:r>
      <w:r w:rsidRPr="00B81201">
        <w:rPr>
          <w:rFonts w:ascii="Arial" w:hAnsi="Arial" w:cs="Arial"/>
        </w:rPr>
        <w:t xml:space="preserve"> than the HAI patient days, check with your vendor as this should never happen. Make sure the vendor system </w:t>
      </w:r>
      <w:r w:rsidR="006E3C64" w:rsidRPr="00B81201">
        <w:rPr>
          <w:rFonts w:ascii="Arial" w:hAnsi="Arial" w:cs="Arial"/>
        </w:rPr>
        <w:t>includes</w:t>
      </w:r>
      <w:r w:rsidRPr="00B81201">
        <w:rPr>
          <w:rFonts w:ascii="Arial" w:hAnsi="Arial" w:cs="Arial"/>
        </w:rPr>
        <w:t xml:space="preserve"> all patients in the location counts regardless of patient status (for example, inpatient, outpatient, observation).</w:t>
      </w:r>
    </w:p>
    <w:p w14:paraId="076608A6" w14:textId="77777777" w:rsidR="001B24F3" w:rsidRDefault="001B24F3" w:rsidP="00B70C63">
      <w:pPr>
        <w:pStyle w:val="BulletsCDC"/>
        <w:numPr>
          <w:ilvl w:val="0"/>
          <w:numId w:val="0"/>
        </w:numPr>
        <w:spacing w:after="0" w:line="240" w:lineRule="auto"/>
        <w:ind w:right="0"/>
        <w:rPr>
          <w:rFonts w:cs="Arial"/>
          <w:szCs w:val="22"/>
        </w:rPr>
      </w:pPr>
    </w:p>
    <w:p w14:paraId="7AF8A3E6" w14:textId="77777777" w:rsidR="00763EB6" w:rsidRDefault="00763EB6" w:rsidP="00C12D3A">
      <w:pPr>
        <w:spacing w:before="0" w:after="160" w:line="278" w:lineRule="auto"/>
        <w:rPr>
          <w:rFonts w:eastAsiaTheme="majorEastAsia" w:cstheme="majorBidi"/>
          <w:b/>
          <w:color w:val="004189" w:themeColor="accent1" w:themeShade="BF"/>
          <w:sz w:val="26"/>
        </w:rPr>
      </w:pPr>
      <w:r>
        <w:rPr>
          <w:rFonts w:eastAsiaTheme="majorEastAsia" w:cstheme="majorBidi"/>
          <w:b/>
          <w:color w:val="004189" w:themeColor="accent1" w:themeShade="BF"/>
          <w:sz w:val="26"/>
        </w:rPr>
        <w:br w:type="page"/>
      </w:r>
    </w:p>
    <w:p w14:paraId="0ACACD0C" w14:textId="0A3EACAC" w:rsidR="001B24F3" w:rsidRDefault="00B81201" w:rsidP="00B70C63">
      <w:pPr>
        <w:pStyle w:val="BulletsCDC"/>
        <w:numPr>
          <w:ilvl w:val="0"/>
          <w:numId w:val="0"/>
        </w:numPr>
        <w:spacing w:after="0" w:line="240" w:lineRule="auto"/>
        <w:ind w:right="0"/>
        <w:rPr>
          <w:rFonts w:eastAsiaTheme="majorEastAsia" w:cstheme="majorBidi"/>
          <w:b/>
          <w:color w:val="004189" w:themeColor="accent1" w:themeShade="BF"/>
          <w:sz w:val="26"/>
        </w:rPr>
      </w:pPr>
      <w:r w:rsidRPr="00B81201">
        <w:rPr>
          <w:rFonts w:eastAsiaTheme="majorEastAsia" w:cstheme="majorBidi"/>
          <w:b/>
          <w:color w:val="004189" w:themeColor="accent1" w:themeShade="BF"/>
          <w:sz w:val="26"/>
        </w:rPr>
        <w:lastRenderedPageBreak/>
        <w:t>FacWideIN days present, patient days</w:t>
      </w:r>
      <w:r w:rsidR="0081532D">
        <w:rPr>
          <w:rFonts w:eastAsiaTheme="majorEastAsia" w:cstheme="majorBidi"/>
          <w:b/>
          <w:color w:val="004189" w:themeColor="accent1" w:themeShade="BF"/>
          <w:sz w:val="26"/>
        </w:rPr>
        <w:t>,</w:t>
      </w:r>
      <w:r w:rsidRPr="00B81201">
        <w:rPr>
          <w:rFonts w:eastAsiaTheme="majorEastAsia" w:cstheme="majorBidi"/>
          <w:b/>
          <w:color w:val="004189" w:themeColor="accent1" w:themeShade="BF"/>
          <w:sz w:val="26"/>
        </w:rPr>
        <w:t xml:space="preserve"> and admissions</w:t>
      </w:r>
    </w:p>
    <w:p w14:paraId="7C3856C1" w14:textId="77777777" w:rsidR="00763EB6" w:rsidRDefault="00763EB6" w:rsidP="00C12D3A">
      <w:pPr>
        <w:pStyle w:val="NoSpacing"/>
        <w:rPr>
          <w:rFonts w:ascii="Arial" w:hAnsi="Arial" w:cs="Arial"/>
          <w:b/>
          <w:bCs/>
        </w:rPr>
      </w:pPr>
    </w:p>
    <w:p w14:paraId="31092060" w14:textId="4EE72A8F" w:rsidR="001B24F3" w:rsidRPr="001B24F3" w:rsidRDefault="001B24F3" w:rsidP="00C12D3A">
      <w:pPr>
        <w:pStyle w:val="NoSpacing"/>
        <w:rPr>
          <w:rFonts w:ascii="Arial" w:hAnsi="Arial" w:cs="Arial"/>
        </w:rPr>
      </w:pPr>
      <w:r w:rsidRPr="001B24F3">
        <w:rPr>
          <w:rFonts w:ascii="Arial" w:hAnsi="Arial" w:cs="Arial"/>
          <w:b/>
          <w:bCs/>
        </w:rPr>
        <w:t>Methodology</w:t>
      </w:r>
      <w:r w:rsidRPr="000B0909">
        <w:rPr>
          <w:rFonts w:ascii="Arial" w:hAnsi="Arial" w:cs="Arial"/>
        </w:rPr>
        <w:t>:</w:t>
      </w:r>
      <w:r w:rsidRPr="001B24F3">
        <w:rPr>
          <w:rFonts w:ascii="Arial" w:hAnsi="Arial" w:cs="Arial"/>
        </w:rPr>
        <w:t xml:space="preserve"> The HAI patient days and admissions denominators for FacWideIN from the Multidrug Resistant Organism (MDRO)/</w:t>
      </w:r>
      <w:r w:rsidRPr="001B24F3">
        <w:rPr>
          <w:rFonts w:ascii="Arial" w:hAnsi="Arial" w:cs="Arial"/>
          <w:i/>
        </w:rPr>
        <w:t>Clostridioides difficile</w:t>
      </w:r>
      <w:r w:rsidRPr="001B24F3">
        <w:rPr>
          <w:rFonts w:ascii="Arial" w:hAnsi="Arial" w:cs="Arial"/>
        </w:rPr>
        <w:t xml:space="preserve"> Infection (CDI) Module are often considered the gold standard for facility-wide denominator data reported to NHSN. Comparing the AU days present and admissions to the MDRO/CDI patient days and admissions for FacWideIN provides a helpful starting place for determining if there are issues with the AU days present and admissions denominators. It’s important to ensure the AU days present and admissions denominators for FacWideIN are correct due to their inclusion in AU rates for FacWideIN. </w:t>
      </w:r>
    </w:p>
    <w:p w14:paraId="462BD18D" w14:textId="77777777" w:rsidR="001B24F3" w:rsidRPr="001B24F3" w:rsidRDefault="001B24F3" w:rsidP="0079371A">
      <w:pPr>
        <w:pStyle w:val="NoSpacing"/>
        <w:rPr>
          <w:rFonts w:ascii="Arial" w:hAnsi="Arial" w:cs="Arial"/>
        </w:rPr>
      </w:pPr>
    </w:p>
    <w:p w14:paraId="1A12DD6D" w14:textId="1DDB7F77" w:rsidR="001B24F3" w:rsidRPr="001B24F3" w:rsidRDefault="001B24F3" w:rsidP="00C12D3A">
      <w:pPr>
        <w:pStyle w:val="NoSpacing"/>
        <w:rPr>
          <w:rFonts w:ascii="Arial" w:hAnsi="Arial" w:cs="Arial"/>
        </w:rPr>
      </w:pPr>
      <w:r w:rsidRPr="00E33F91">
        <w:rPr>
          <w:rFonts w:ascii="Arial" w:hAnsi="Arial" w:cs="Arial"/>
        </w:rPr>
        <w:t>In the first table, please list the AU days present either from the vendor software or</w:t>
      </w:r>
      <w:r w:rsidR="00FB27F5">
        <w:rPr>
          <w:rFonts w:ascii="Arial" w:hAnsi="Arial" w:cs="Arial"/>
        </w:rPr>
        <w:t>,</w:t>
      </w:r>
      <w:r w:rsidRPr="00E33F91">
        <w:rPr>
          <w:rFonts w:ascii="Arial" w:hAnsi="Arial" w:cs="Arial"/>
        </w:rPr>
        <w:t xml:space="preserve"> if you’ve already uploaded AU data from NHSN, in the table below. Next</w:t>
      </w:r>
      <w:r w:rsidRPr="001B24F3">
        <w:rPr>
          <w:rFonts w:ascii="Arial" w:hAnsi="Arial" w:cs="Arial"/>
        </w:rPr>
        <w:t xml:space="preserve">, list the MDRO/CDI patient days reported in NHSN for FacWideIN in the table below. Then, calculate the </w:t>
      </w:r>
      <w:proofErr w:type="gramStart"/>
      <w:r w:rsidRPr="001B24F3">
        <w:rPr>
          <w:rFonts w:ascii="Arial" w:hAnsi="Arial" w:cs="Arial"/>
        </w:rPr>
        <w:t>percent</w:t>
      </w:r>
      <w:proofErr w:type="gramEnd"/>
      <w:r w:rsidRPr="001B24F3">
        <w:rPr>
          <w:rFonts w:ascii="Arial" w:hAnsi="Arial" w:cs="Arial"/>
        </w:rPr>
        <w:t xml:space="preserve"> difference.</w:t>
      </w:r>
    </w:p>
    <w:p w14:paraId="60C551D9" w14:textId="77777777" w:rsidR="001B24F3" w:rsidRPr="001B24F3" w:rsidRDefault="001B24F3" w:rsidP="00C12D3A">
      <w:pPr>
        <w:pStyle w:val="NoSpacing"/>
        <w:rPr>
          <w:rFonts w:ascii="Arial" w:hAnsi="Arial" w:cs="Arial"/>
          <w:b/>
          <w:bCs/>
        </w:rPr>
      </w:pPr>
    </w:p>
    <w:p w14:paraId="0CE1D4F7" w14:textId="5069153D" w:rsidR="001B24F3" w:rsidRPr="001B24F3" w:rsidRDefault="001B24F3" w:rsidP="00C12D3A">
      <w:pPr>
        <w:pStyle w:val="NoSpacing"/>
        <w:rPr>
          <w:rFonts w:ascii="Arial" w:hAnsi="Arial" w:cs="Arial"/>
        </w:rPr>
      </w:pPr>
      <w:r w:rsidRPr="001B24F3">
        <w:rPr>
          <w:rFonts w:ascii="Arial" w:hAnsi="Arial" w:cs="Arial"/>
        </w:rPr>
        <w:t>In the second table, please list the AU admissions either from the vendor software or</w:t>
      </w:r>
      <w:r w:rsidR="005D69E3">
        <w:rPr>
          <w:rFonts w:ascii="Arial" w:hAnsi="Arial" w:cs="Arial"/>
        </w:rPr>
        <w:t>,</w:t>
      </w:r>
      <w:r w:rsidRPr="001B24F3">
        <w:rPr>
          <w:rFonts w:ascii="Arial" w:hAnsi="Arial" w:cs="Arial"/>
        </w:rPr>
        <w:t xml:space="preserve"> if you’ve already uploaded AU data from NHSN, </w:t>
      </w:r>
      <w:proofErr w:type="gramStart"/>
      <w:r w:rsidRPr="001B24F3">
        <w:rPr>
          <w:rFonts w:ascii="Arial" w:hAnsi="Arial" w:cs="Arial"/>
        </w:rPr>
        <w:t>in</w:t>
      </w:r>
      <w:proofErr w:type="gramEnd"/>
      <w:r w:rsidRPr="001B24F3">
        <w:rPr>
          <w:rFonts w:ascii="Arial" w:hAnsi="Arial" w:cs="Arial"/>
        </w:rPr>
        <w:t xml:space="preserve"> the table below. Next, include the MDRO/CDI admissions reported in NHSN for FacWideIN in the table below. Additionally, if your facility has AR Option data, add the AR Option admissions from either the vendor software or NHSN to the table for a third layer of comparison. The AR Option admissions will come from the </w:t>
      </w:r>
      <w:hyperlink r:id="rId31" w:history="1">
        <w:r w:rsidRPr="006E74DF">
          <w:rPr>
            <w:rStyle w:val="Hyperlink"/>
            <w:rFonts w:ascii="Arial" w:hAnsi="Arial" w:cs="Arial"/>
            <w:color w:val="2A6CA8" w:themeColor="background2" w:themeShade="80"/>
          </w:rPr>
          <w:t>AR Option Denominator Line List</w:t>
        </w:r>
      </w:hyperlink>
      <w:r w:rsidRPr="001B24F3">
        <w:rPr>
          <w:rFonts w:ascii="Arial" w:hAnsi="Arial" w:cs="Arial"/>
        </w:rPr>
        <w:t>.</w:t>
      </w:r>
    </w:p>
    <w:p w14:paraId="4EB3C71F" w14:textId="77777777" w:rsidR="001B24F3" w:rsidRPr="001B24F3" w:rsidRDefault="001B24F3" w:rsidP="0079371A">
      <w:pPr>
        <w:pStyle w:val="NoSpacing"/>
        <w:rPr>
          <w:rFonts w:ascii="Arial" w:hAnsi="Arial" w:cs="Arial"/>
          <w:b/>
          <w:bCs/>
        </w:rPr>
      </w:pPr>
    </w:p>
    <w:p w14:paraId="61EABD5C" w14:textId="77777777" w:rsidR="001B24F3" w:rsidRPr="001B24F3" w:rsidRDefault="001B24F3" w:rsidP="00C12D3A">
      <w:pPr>
        <w:pStyle w:val="NoSpacing"/>
        <w:rPr>
          <w:rFonts w:ascii="Arial" w:hAnsi="Arial" w:cs="Arial"/>
        </w:rPr>
      </w:pPr>
      <w:r w:rsidRPr="001B24F3">
        <w:rPr>
          <w:rFonts w:ascii="Arial" w:hAnsi="Arial" w:cs="Arial"/>
        </w:rPr>
        <w:t>You can find the MDRO/CDI total patient days and admissions for FacWideIN in the MDRO/CDI summary records used for laboratory-identified (LabID) reporting in NHSN.</w:t>
      </w:r>
      <w:r w:rsidRPr="001B24F3">
        <w:rPr>
          <w:rFonts w:ascii="Arial" w:hAnsi="Arial" w:cs="Arial"/>
          <w:b/>
          <w:bCs/>
        </w:rPr>
        <w:t xml:space="preserve"> </w:t>
      </w:r>
      <w:r w:rsidRPr="001B24F3">
        <w:rPr>
          <w:rFonts w:ascii="Arial" w:hAnsi="Arial" w:cs="Arial"/>
        </w:rPr>
        <w:t xml:space="preserve">You may need to ask your IP for help finding these numbers. We recommend </w:t>
      </w:r>
      <w:proofErr w:type="gramStart"/>
      <w:r w:rsidRPr="001B24F3">
        <w:rPr>
          <w:rFonts w:ascii="Arial" w:hAnsi="Arial" w:cs="Arial"/>
        </w:rPr>
        <w:t>checking</w:t>
      </w:r>
      <w:proofErr w:type="gramEnd"/>
      <w:r w:rsidRPr="001B24F3">
        <w:rPr>
          <w:rFonts w:ascii="Arial" w:hAnsi="Arial" w:cs="Arial"/>
        </w:rPr>
        <w:t xml:space="preserve"> at least four months.</w:t>
      </w:r>
    </w:p>
    <w:p w14:paraId="056F6F1B" w14:textId="77777777" w:rsidR="001B24F3" w:rsidRPr="001B24F3" w:rsidRDefault="001B24F3" w:rsidP="0079371A">
      <w:pPr>
        <w:pStyle w:val="NoSpacing"/>
        <w:rPr>
          <w:rFonts w:ascii="Arial" w:hAnsi="Arial" w:cs="Arial"/>
        </w:rPr>
      </w:pPr>
    </w:p>
    <w:p w14:paraId="1F061BE1" w14:textId="77777777" w:rsidR="001B24F3" w:rsidRPr="001B24F3" w:rsidRDefault="001B24F3" w:rsidP="00C12D3A">
      <w:pPr>
        <w:pStyle w:val="NoSpacing"/>
        <w:rPr>
          <w:rFonts w:ascii="Arial" w:hAnsi="Arial" w:cs="Arial"/>
        </w:rPr>
      </w:pPr>
      <w:r w:rsidRPr="001B24F3">
        <w:rPr>
          <w:rFonts w:ascii="Arial" w:hAnsi="Arial" w:cs="Arial"/>
        </w:rPr>
        <w:t>Based on internal NHSN analyses, for most facilities (90%), the AU days present for FacWideIN are &lt;42% higher than the MDRO/CDI patient days for FacWideIN in the same month.</w:t>
      </w:r>
    </w:p>
    <w:p w14:paraId="3E2F20C6" w14:textId="77777777" w:rsidR="001B24F3" w:rsidRDefault="001B24F3" w:rsidP="0079371A">
      <w:pPr>
        <w:pStyle w:val="BulletsCDC"/>
        <w:numPr>
          <w:ilvl w:val="0"/>
          <w:numId w:val="0"/>
        </w:numPr>
        <w:spacing w:after="0" w:line="240" w:lineRule="auto"/>
        <w:ind w:right="0"/>
        <w:rPr>
          <w:rFonts w:cs="Arial"/>
          <w:szCs w:val="22"/>
        </w:rPr>
      </w:pPr>
    </w:p>
    <w:tbl>
      <w:tblPr>
        <w:tblStyle w:val="TableGrid"/>
        <w:tblW w:w="9725" w:type="dxa"/>
        <w:jc w:val="center"/>
        <w:tblLook w:val="04A0" w:firstRow="1" w:lastRow="0" w:firstColumn="1" w:lastColumn="0" w:noHBand="0" w:noVBand="1"/>
      </w:tblPr>
      <w:tblGrid>
        <w:gridCol w:w="2431"/>
        <w:gridCol w:w="2431"/>
        <w:gridCol w:w="2431"/>
        <w:gridCol w:w="2432"/>
      </w:tblGrid>
      <w:tr w:rsidR="001B24F3" w:rsidRPr="001B24F3" w14:paraId="6EE69B13" w14:textId="77777777" w:rsidTr="00B70C63">
        <w:trPr>
          <w:jc w:val="center"/>
        </w:trPr>
        <w:tc>
          <w:tcPr>
            <w:tcW w:w="2431" w:type="dxa"/>
            <w:vAlign w:val="center"/>
          </w:tcPr>
          <w:p w14:paraId="1DBD98D6" w14:textId="77777777" w:rsidR="001B24F3" w:rsidRPr="001B24F3" w:rsidRDefault="001B24F3" w:rsidP="00C12D3A">
            <w:pPr>
              <w:pStyle w:val="NoSpacing"/>
              <w:rPr>
                <w:rFonts w:ascii="Arial" w:hAnsi="Arial" w:cs="Arial"/>
              </w:rPr>
            </w:pPr>
            <w:r w:rsidRPr="001B24F3">
              <w:rPr>
                <w:rFonts w:ascii="Arial" w:hAnsi="Arial" w:cs="Arial"/>
                <w:b/>
              </w:rPr>
              <w:t>Month/Year</w:t>
            </w:r>
          </w:p>
        </w:tc>
        <w:tc>
          <w:tcPr>
            <w:tcW w:w="2431" w:type="dxa"/>
            <w:vAlign w:val="center"/>
          </w:tcPr>
          <w:p w14:paraId="0D9D022B" w14:textId="77777777" w:rsidR="001B24F3" w:rsidRPr="001B24F3" w:rsidRDefault="001B24F3" w:rsidP="00C12D3A">
            <w:pPr>
              <w:pStyle w:val="NoSpacing"/>
              <w:rPr>
                <w:rFonts w:ascii="Arial" w:hAnsi="Arial" w:cs="Arial"/>
              </w:rPr>
            </w:pPr>
            <w:r w:rsidRPr="001B24F3">
              <w:rPr>
                <w:rFonts w:ascii="Arial" w:hAnsi="Arial" w:cs="Arial"/>
                <w:b/>
              </w:rPr>
              <w:t>Total AU Days Present for FacWideIN</w:t>
            </w:r>
          </w:p>
        </w:tc>
        <w:tc>
          <w:tcPr>
            <w:tcW w:w="2431" w:type="dxa"/>
            <w:vAlign w:val="center"/>
          </w:tcPr>
          <w:p w14:paraId="5B68D67B" w14:textId="77777777" w:rsidR="001B24F3" w:rsidRPr="001B24F3" w:rsidRDefault="001B24F3" w:rsidP="00C12D3A">
            <w:pPr>
              <w:pStyle w:val="NoSpacing"/>
              <w:rPr>
                <w:rFonts w:ascii="Arial" w:hAnsi="Arial" w:cs="Arial"/>
                <w:b/>
              </w:rPr>
            </w:pPr>
            <w:r w:rsidRPr="001B24F3">
              <w:rPr>
                <w:rFonts w:ascii="Arial" w:hAnsi="Arial" w:cs="Arial"/>
                <w:b/>
              </w:rPr>
              <w:t>Total Facility Patient Days for MDRO/CDI FacWideIN</w:t>
            </w:r>
          </w:p>
        </w:tc>
        <w:tc>
          <w:tcPr>
            <w:tcW w:w="2432" w:type="dxa"/>
            <w:vAlign w:val="center"/>
          </w:tcPr>
          <w:p w14:paraId="5FF902A0" w14:textId="77777777" w:rsidR="001B24F3" w:rsidRPr="001B24F3" w:rsidRDefault="001B24F3" w:rsidP="00C12D3A">
            <w:pPr>
              <w:pStyle w:val="NoSpacing"/>
              <w:rPr>
                <w:rFonts w:ascii="Arial" w:hAnsi="Arial" w:cs="Arial"/>
                <w:b/>
              </w:rPr>
            </w:pPr>
            <w:r w:rsidRPr="001B24F3">
              <w:rPr>
                <w:rFonts w:ascii="Arial" w:hAnsi="Arial" w:cs="Arial"/>
                <w:b/>
              </w:rPr>
              <w:t>Percent Difference</w:t>
            </w:r>
          </w:p>
        </w:tc>
      </w:tr>
      <w:tr w:rsidR="001B24F3" w:rsidRPr="001B24F3" w14:paraId="0F24D395" w14:textId="77777777" w:rsidTr="00B70C63">
        <w:trPr>
          <w:jc w:val="center"/>
        </w:trPr>
        <w:tc>
          <w:tcPr>
            <w:tcW w:w="2431" w:type="dxa"/>
          </w:tcPr>
          <w:p w14:paraId="1FD817C6" w14:textId="77777777" w:rsidR="001B24F3" w:rsidRPr="001B24F3" w:rsidRDefault="001B24F3" w:rsidP="00C12D3A">
            <w:pPr>
              <w:pStyle w:val="NoSpacing"/>
              <w:rPr>
                <w:rFonts w:ascii="Arial" w:hAnsi="Arial" w:cs="Arial"/>
              </w:rPr>
            </w:pPr>
          </w:p>
        </w:tc>
        <w:tc>
          <w:tcPr>
            <w:tcW w:w="2431" w:type="dxa"/>
          </w:tcPr>
          <w:p w14:paraId="4014C1C0" w14:textId="77777777" w:rsidR="001B24F3" w:rsidRPr="001B24F3" w:rsidRDefault="001B24F3" w:rsidP="00C12D3A">
            <w:pPr>
              <w:pStyle w:val="NoSpacing"/>
              <w:rPr>
                <w:rFonts w:ascii="Arial" w:hAnsi="Arial" w:cs="Arial"/>
              </w:rPr>
            </w:pPr>
          </w:p>
        </w:tc>
        <w:tc>
          <w:tcPr>
            <w:tcW w:w="2431" w:type="dxa"/>
          </w:tcPr>
          <w:p w14:paraId="7759ACC7" w14:textId="77777777" w:rsidR="001B24F3" w:rsidRPr="001B24F3" w:rsidRDefault="001B24F3" w:rsidP="00C12D3A">
            <w:pPr>
              <w:pStyle w:val="NoSpacing"/>
              <w:rPr>
                <w:rFonts w:ascii="Arial" w:hAnsi="Arial" w:cs="Arial"/>
              </w:rPr>
            </w:pPr>
          </w:p>
        </w:tc>
        <w:tc>
          <w:tcPr>
            <w:tcW w:w="2432" w:type="dxa"/>
          </w:tcPr>
          <w:p w14:paraId="464639D1" w14:textId="77777777" w:rsidR="001B24F3" w:rsidRPr="001B24F3" w:rsidRDefault="001B24F3" w:rsidP="00C12D3A">
            <w:pPr>
              <w:pStyle w:val="NoSpacing"/>
              <w:rPr>
                <w:rFonts w:ascii="Arial" w:hAnsi="Arial" w:cs="Arial"/>
              </w:rPr>
            </w:pPr>
          </w:p>
        </w:tc>
      </w:tr>
      <w:tr w:rsidR="001B24F3" w:rsidRPr="001B24F3" w14:paraId="3A79FAED" w14:textId="77777777" w:rsidTr="00B70C63">
        <w:trPr>
          <w:jc w:val="center"/>
        </w:trPr>
        <w:tc>
          <w:tcPr>
            <w:tcW w:w="2431" w:type="dxa"/>
          </w:tcPr>
          <w:p w14:paraId="12D5A7A4" w14:textId="77777777" w:rsidR="001B24F3" w:rsidRPr="001B24F3" w:rsidRDefault="001B24F3" w:rsidP="00C12D3A">
            <w:pPr>
              <w:pStyle w:val="NoSpacing"/>
              <w:rPr>
                <w:rFonts w:ascii="Arial" w:hAnsi="Arial" w:cs="Arial"/>
              </w:rPr>
            </w:pPr>
          </w:p>
        </w:tc>
        <w:tc>
          <w:tcPr>
            <w:tcW w:w="2431" w:type="dxa"/>
          </w:tcPr>
          <w:p w14:paraId="298CEE02" w14:textId="77777777" w:rsidR="001B24F3" w:rsidRPr="001B24F3" w:rsidRDefault="001B24F3" w:rsidP="00C12D3A">
            <w:pPr>
              <w:pStyle w:val="NoSpacing"/>
              <w:rPr>
                <w:rFonts w:ascii="Arial" w:hAnsi="Arial" w:cs="Arial"/>
              </w:rPr>
            </w:pPr>
          </w:p>
        </w:tc>
        <w:tc>
          <w:tcPr>
            <w:tcW w:w="2431" w:type="dxa"/>
          </w:tcPr>
          <w:p w14:paraId="1E939BBE" w14:textId="77777777" w:rsidR="001B24F3" w:rsidRPr="001B24F3" w:rsidRDefault="001B24F3" w:rsidP="00C12D3A">
            <w:pPr>
              <w:pStyle w:val="NoSpacing"/>
              <w:rPr>
                <w:rFonts w:ascii="Arial" w:hAnsi="Arial" w:cs="Arial"/>
              </w:rPr>
            </w:pPr>
          </w:p>
        </w:tc>
        <w:tc>
          <w:tcPr>
            <w:tcW w:w="2432" w:type="dxa"/>
          </w:tcPr>
          <w:p w14:paraId="1FCA99C6" w14:textId="77777777" w:rsidR="001B24F3" w:rsidRPr="001B24F3" w:rsidRDefault="001B24F3" w:rsidP="00C12D3A">
            <w:pPr>
              <w:pStyle w:val="NoSpacing"/>
              <w:rPr>
                <w:rFonts w:ascii="Arial" w:hAnsi="Arial" w:cs="Arial"/>
              </w:rPr>
            </w:pPr>
          </w:p>
        </w:tc>
      </w:tr>
      <w:tr w:rsidR="001B24F3" w:rsidRPr="001B24F3" w14:paraId="31305626" w14:textId="77777777" w:rsidTr="00B70C63">
        <w:trPr>
          <w:jc w:val="center"/>
        </w:trPr>
        <w:tc>
          <w:tcPr>
            <w:tcW w:w="2431" w:type="dxa"/>
          </w:tcPr>
          <w:p w14:paraId="749C2033" w14:textId="77777777" w:rsidR="001B24F3" w:rsidRPr="001B24F3" w:rsidRDefault="001B24F3" w:rsidP="00C12D3A">
            <w:pPr>
              <w:pStyle w:val="NoSpacing"/>
              <w:rPr>
                <w:rFonts w:ascii="Arial" w:hAnsi="Arial" w:cs="Arial"/>
              </w:rPr>
            </w:pPr>
          </w:p>
        </w:tc>
        <w:tc>
          <w:tcPr>
            <w:tcW w:w="2431" w:type="dxa"/>
          </w:tcPr>
          <w:p w14:paraId="248C3705" w14:textId="77777777" w:rsidR="001B24F3" w:rsidRPr="001B24F3" w:rsidRDefault="001B24F3" w:rsidP="00C12D3A">
            <w:pPr>
              <w:pStyle w:val="NoSpacing"/>
              <w:rPr>
                <w:rFonts w:ascii="Arial" w:hAnsi="Arial" w:cs="Arial"/>
              </w:rPr>
            </w:pPr>
          </w:p>
        </w:tc>
        <w:tc>
          <w:tcPr>
            <w:tcW w:w="2431" w:type="dxa"/>
          </w:tcPr>
          <w:p w14:paraId="32278346" w14:textId="77777777" w:rsidR="001B24F3" w:rsidRPr="001B24F3" w:rsidRDefault="001B24F3" w:rsidP="00C12D3A">
            <w:pPr>
              <w:pStyle w:val="NoSpacing"/>
              <w:rPr>
                <w:rFonts w:ascii="Arial" w:hAnsi="Arial" w:cs="Arial"/>
              </w:rPr>
            </w:pPr>
          </w:p>
        </w:tc>
        <w:tc>
          <w:tcPr>
            <w:tcW w:w="2432" w:type="dxa"/>
          </w:tcPr>
          <w:p w14:paraId="30E3E0B5" w14:textId="77777777" w:rsidR="001B24F3" w:rsidRPr="001B24F3" w:rsidRDefault="001B24F3" w:rsidP="00C12D3A">
            <w:pPr>
              <w:pStyle w:val="NoSpacing"/>
              <w:rPr>
                <w:rFonts w:ascii="Arial" w:hAnsi="Arial" w:cs="Arial"/>
              </w:rPr>
            </w:pPr>
          </w:p>
        </w:tc>
      </w:tr>
      <w:tr w:rsidR="00AA7022" w:rsidRPr="001B24F3" w14:paraId="3D0F6D1B" w14:textId="77777777" w:rsidTr="00B70C63">
        <w:trPr>
          <w:jc w:val="center"/>
        </w:trPr>
        <w:tc>
          <w:tcPr>
            <w:tcW w:w="2431" w:type="dxa"/>
          </w:tcPr>
          <w:p w14:paraId="3A3B9E36" w14:textId="77777777" w:rsidR="00AA7022" w:rsidRPr="001B24F3" w:rsidRDefault="00AA7022" w:rsidP="00C12D3A">
            <w:pPr>
              <w:pStyle w:val="NoSpacing"/>
              <w:rPr>
                <w:rFonts w:ascii="Arial" w:hAnsi="Arial" w:cs="Arial"/>
              </w:rPr>
            </w:pPr>
          </w:p>
        </w:tc>
        <w:tc>
          <w:tcPr>
            <w:tcW w:w="2431" w:type="dxa"/>
          </w:tcPr>
          <w:p w14:paraId="1C314D32" w14:textId="77777777" w:rsidR="00AA7022" w:rsidRPr="001B24F3" w:rsidRDefault="00AA7022" w:rsidP="00C12D3A">
            <w:pPr>
              <w:pStyle w:val="NoSpacing"/>
              <w:rPr>
                <w:rFonts w:ascii="Arial" w:hAnsi="Arial" w:cs="Arial"/>
              </w:rPr>
            </w:pPr>
          </w:p>
        </w:tc>
        <w:tc>
          <w:tcPr>
            <w:tcW w:w="2431" w:type="dxa"/>
          </w:tcPr>
          <w:p w14:paraId="2A6B26E5" w14:textId="77777777" w:rsidR="00AA7022" w:rsidRPr="001B24F3" w:rsidRDefault="00AA7022" w:rsidP="00C12D3A">
            <w:pPr>
              <w:pStyle w:val="NoSpacing"/>
              <w:rPr>
                <w:rFonts w:ascii="Arial" w:hAnsi="Arial" w:cs="Arial"/>
              </w:rPr>
            </w:pPr>
          </w:p>
        </w:tc>
        <w:tc>
          <w:tcPr>
            <w:tcW w:w="2432" w:type="dxa"/>
          </w:tcPr>
          <w:p w14:paraId="6BBFEDB7" w14:textId="77777777" w:rsidR="00AA7022" w:rsidRPr="001B24F3" w:rsidRDefault="00AA7022" w:rsidP="00C12D3A">
            <w:pPr>
              <w:pStyle w:val="NoSpacing"/>
              <w:rPr>
                <w:rFonts w:ascii="Arial" w:hAnsi="Arial" w:cs="Arial"/>
              </w:rPr>
            </w:pPr>
          </w:p>
        </w:tc>
      </w:tr>
    </w:tbl>
    <w:p w14:paraId="68F1C273" w14:textId="77777777" w:rsidR="001B24F3" w:rsidRDefault="001B24F3" w:rsidP="00B832D7">
      <w:pPr>
        <w:pStyle w:val="BulletsCDC"/>
        <w:numPr>
          <w:ilvl w:val="0"/>
          <w:numId w:val="0"/>
        </w:numPr>
        <w:spacing w:after="0" w:line="240" w:lineRule="auto"/>
        <w:ind w:right="0"/>
        <w:rPr>
          <w:rFonts w:cs="Arial"/>
          <w:szCs w:val="22"/>
        </w:rPr>
      </w:pPr>
    </w:p>
    <w:p w14:paraId="13D30204" w14:textId="77777777" w:rsidR="001B24F3" w:rsidRPr="001B24F3" w:rsidRDefault="001B24F3" w:rsidP="00C12D3A">
      <w:pPr>
        <w:pStyle w:val="NoSpacing"/>
        <w:rPr>
          <w:rFonts w:ascii="Arial" w:hAnsi="Arial" w:cs="Arial"/>
        </w:rPr>
      </w:pPr>
      <w:r w:rsidRPr="001B24F3">
        <w:rPr>
          <w:rFonts w:ascii="Arial" w:hAnsi="Arial" w:cs="Arial"/>
          <w:b/>
          <w:bCs/>
        </w:rPr>
        <w:t>Compare Locations</w:t>
      </w:r>
      <w:r w:rsidRPr="001B24F3">
        <w:rPr>
          <w:rFonts w:ascii="Arial" w:hAnsi="Arial" w:cs="Arial"/>
        </w:rPr>
        <w:t>: Compare the locations included in your MDRO/CDI and AU denominators for FacWideIN.</w:t>
      </w:r>
      <w:r w:rsidRPr="001B24F3">
        <w:rPr>
          <w:rFonts w:ascii="Arial" w:hAnsi="Arial" w:cs="Arial"/>
          <w:b/>
          <w:bCs/>
        </w:rPr>
        <w:t xml:space="preserve"> </w:t>
      </w:r>
      <w:r w:rsidRPr="001B24F3">
        <w:rPr>
          <w:rFonts w:ascii="Arial" w:hAnsi="Arial" w:cs="Arial"/>
        </w:rPr>
        <w:t xml:space="preserve">We expect to see the same locations with AU having additional procedural locations. For AU reporting, we recommend the vendor system include all locations in the FacWideIN record where the system can accurately electronically capture both the numerator and denominator. </w:t>
      </w:r>
    </w:p>
    <w:p w14:paraId="2100FEC4" w14:textId="77777777" w:rsidR="001B24F3" w:rsidRPr="001B24F3" w:rsidRDefault="001B24F3" w:rsidP="00B832D7">
      <w:pPr>
        <w:pStyle w:val="NoSpacing"/>
        <w:rPr>
          <w:rFonts w:ascii="Arial" w:hAnsi="Arial" w:cs="Arial"/>
        </w:rPr>
      </w:pPr>
    </w:p>
    <w:p w14:paraId="3E3A583B" w14:textId="65801BCF" w:rsidR="001B24F3" w:rsidRPr="001B24F3" w:rsidRDefault="001B24F3" w:rsidP="00C12D3A">
      <w:pPr>
        <w:pStyle w:val="NoSpacing"/>
        <w:rPr>
          <w:rFonts w:ascii="Arial" w:hAnsi="Arial" w:cs="Arial"/>
        </w:rPr>
      </w:pPr>
      <w:r w:rsidRPr="001B24F3">
        <w:rPr>
          <w:rFonts w:ascii="Arial" w:hAnsi="Arial" w:cs="Arial"/>
          <w:b/>
          <w:bCs/>
        </w:rPr>
        <w:t>Compare Days Present vs Patient Days</w:t>
      </w:r>
      <w:r w:rsidRPr="001B24F3">
        <w:rPr>
          <w:rFonts w:ascii="Arial" w:hAnsi="Arial" w:cs="Arial"/>
        </w:rPr>
        <w:t>: If the same locations are included for MDRO/CDI and AU Option reporting, compare the AU days present for FacWideIN and the MDRO/CDI</w:t>
      </w:r>
      <w:r w:rsidRPr="001B24F3" w:rsidDel="00415241">
        <w:rPr>
          <w:rFonts w:ascii="Arial" w:hAnsi="Arial" w:cs="Arial"/>
        </w:rPr>
        <w:t xml:space="preserve"> </w:t>
      </w:r>
      <w:r w:rsidRPr="001B24F3">
        <w:rPr>
          <w:rFonts w:ascii="Arial" w:hAnsi="Arial" w:cs="Arial"/>
        </w:rPr>
        <w:t xml:space="preserve">patient-days from FacWideIN. If the percent difference is </w:t>
      </w:r>
      <w:r w:rsidRPr="00D61984">
        <w:rPr>
          <w:rFonts w:ascii="Arial" w:hAnsi="Arial" w:cs="Arial"/>
          <w:b/>
          <w:bCs/>
        </w:rPr>
        <w:t>considerably higher than the 90</w:t>
      </w:r>
      <w:r w:rsidRPr="00D61984">
        <w:rPr>
          <w:rFonts w:ascii="Arial" w:hAnsi="Arial" w:cs="Arial"/>
          <w:b/>
          <w:bCs/>
          <w:vertAlign w:val="superscript"/>
        </w:rPr>
        <w:t>th</w:t>
      </w:r>
      <w:r w:rsidRPr="00D61984">
        <w:rPr>
          <w:rFonts w:ascii="Arial" w:hAnsi="Arial" w:cs="Arial"/>
          <w:b/>
          <w:bCs/>
        </w:rPr>
        <w:t xml:space="preserve"> percentile</w:t>
      </w:r>
      <w:r w:rsidRPr="001B24F3">
        <w:rPr>
          <w:rFonts w:ascii="Arial" w:hAnsi="Arial" w:cs="Arial"/>
        </w:rPr>
        <w:t xml:space="preserve"> for FacWideIN, </w:t>
      </w:r>
      <w:r w:rsidR="004370DA">
        <w:rPr>
          <w:rFonts w:ascii="Arial" w:hAnsi="Arial" w:cs="Arial"/>
        </w:rPr>
        <w:t>verify that</w:t>
      </w:r>
      <w:r w:rsidR="008703B4">
        <w:rPr>
          <w:rFonts w:ascii="Arial" w:hAnsi="Arial" w:cs="Arial"/>
        </w:rPr>
        <w:t xml:space="preserve"> the vendor system i</w:t>
      </w:r>
      <w:r w:rsidR="004370DA">
        <w:rPr>
          <w:rFonts w:ascii="Arial" w:hAnsi="Arial" w:cs="Arial"/>
        </w:rPr>
        <w:t>ncludes only</w:t>
      </w:r>
      <w:r w:rsidR="008703B4">
        <w:rPr>
          <w:rFonts w:ascii="Arial" w:hAnsi="Arial" w:cs="Arial"/>
        </w:rPr>
        <w:t xml:space="preserve"> locations </w:t>
      </w:r>
      <w:r w:rsidR="00D1593C">
        <w:rPr>
          <w:rFonts w:ascii="Arial" w:hAnsi="Arial" w:cs="Arial"/>
        </w:rPr>
        <w:t xml:space="preserve">in the FacWideIN record </w:t>
      </w:r>
      <w:r w:rsidR="008703B4">
        <w:rPr>
          <w:rFonts w:ascii="Arial" w:hAnsi="Arial" w:cs="Arial"/>
        </w:rPr>
        <w:t>where</w:t>
      </w:r>
      <w:r w:rsidR="00793182">
        <w:rPr>
          <w:rFonts w:ascii="Arial" w:hAnsi="Arial" w:cs="Arial"/>
        </w:rPr>
        <w:t xml:space="preserve"> it</w:t>
      </w:r>
      <w:r w:rsidR="008703B4">
        <w:rPr>
          <w:rFonts w:ascii="Arial" w:hAnsi="Arial" w:cs="Arial"/>
        </w:rPr>
        <w:t xml:space="preserve"> can accurately electronically capture both the numerator and denominator</w:t>
      </w:r>
      <w:r w:rsidR="00F85DC8">
        <w:rPr>
          <w:rFonts w:ascii="Arial" w:hAnsi="Arial" w:cs="Arial"/>
        </w:rPr>
        <w:t xml:space="preserve"> </w:t>
      </w:r>
      <w:r w:rsidR="00640688">
        <w:rPr>
          <w:rFonts w:ascii="Arial" w:hAnsi="Arial" w:cs="Arial"/>
        </w:rPr>
        <w:t>for AU reporting</w:t>
      </w:r>
      <w:r w:rsidRPr="001B24F3">
        <w:rPr>
          <w:rFonts w:ascii="Arial" w:hAnsi="Arial" w:cs="Arial"/>
        </w:rPr>
        <w:t>.</w:t>
      </w:r>
    </w:p>
    <w:p w14:paraId="5F579DA8" w14:textId="77777777" w:rsidR="001B24F3" w:rsidRPr="001B24F3" w:rsidRDefault="001B24F3" w:rsidP="00C12D3A">
      <w:pPr>
        <w:pStyle w:val="NoSpacing"/>
        <w:tabs>
          <w:tab w:val="left" w:pos="2550"/>
        </w:tabs>
        <w:rPr>
          <w:rFonts w:ascii="Arial" w:hAnsi="Arial" w:cs="Arial"/>
        </w:rPr>
      </w:pPr>
    </w:p>
    <w:p w14:paraId="3F482826" w14:textId="77777777" w:rsidR="001B24F3" w:rsidRDefault="001B24F3" w:rsidP="00C12D3A">
      <w:pPr>
        <w:pStyle w:val="NoSpacing"/>
        <w:tabs>
          <w:tab w:val="left" w:pos="2550"/>
        </w:tabs>
        <w:rPr>
          <w:rFonts w:ascii="Arial" w:hAnsi="Arial" w:cs="Arial"/>
        </w:rPr>
      </w:pPr>
      <w:r w:rsidRPr="001B24F3">
        <w:rPr>
          <w:rFonts w:ascii="Arial" w:hAnsi="Arial" w:cs="Arial"/>
          <w:b/>
          <w:bCs/>
        </w:rPr>
        <w:t>Compare Admissions</w:t>
      </w:r>
      <w:r w:rsidRPr="001B24F3">
        <w:rPr>
          <w:rFonts w:ascii="Arial" w:hAnsi="Arial" w:cs="Arial"/>
        </w:rPr>
        <w:t>: Compare the admission counts between the AU Option and the MDRO/CDI Module. The table below can help with this comparison.</w:t>
      </w:r>
    </w:p>
    <w:p w14:paraId="3F765342" w14:textId="77777777" w:rsidR="00763EB6" w:rsidRPr="001B24F3" w:rsidRDefault="00763EB6" w:rsidP="00C12D3A">
      <w:pPr>
        <w:pStyle w:val="NoSpacing"/>
        <w:tabs>
          <w:tab w:val="left" w:pos="2550"/>
        </w:tabs>
        <w:rPr>
          <w:rFonts w:ascii="Arial" w:hAnsi="Arial" w:cs="Arial"/>
        </w:rPr>
      </w:pPr>
    </w:p>
    <w:p w14:paraId="4E3905C8" w14:textId="77777777" w:rsidR="001B24F3" w:rsidRDefault="001B24F3" w:rsidP="00C12D3A">
      <w:pPr>
        <w:pStyle w:val="NoSpacing"/>
        <w:ind w:left="810"/>
        <w:rPr>
          <w:rFonts w:ascii="Arial" w:hAnsi="Arial" w:cs="Arial"/>
        </w:rPr>
      </w:pPr>
      <w:r w:rsidRPr="001B24F3">
        <w:rPr>
          <w:rFonts w:ascii="Arial" w:hAnsi="Arial" w:cs="Arial"/>
          <w:b/>
          <w:bCs/>
        </w:rPr>
        <w:t>Note</w:t>
      </w:r>
      <w:r w:rsidRPr="000B0909">
        <w:rPr>
          <w:rFonts w:ascii="Arial" w:hAnsi="Arial" w:cs="Arial"/>
        </w:rPr>
        <w:t>:</w:t>
      </w:r>
      <w:r w:rsidRPr="001B24F3">
        <w:rPr>
          <w:rFonts w:ascii="Arial" w:hAnsi="Arial" w:cs="Arial"/>
        </w:rPr>
        <w:t xml:space="preserve"> Unlike the MDRO/CDI admission definition, AU admission also includes same-day discharges. Due to the slightly different definitions and data sources used to collect these counts, the NHSN Team expects equal or higher admission counts for AU when comparing to </w:t>
      </w:r>
      <w:r w:rsidRPr="001B24F3">
        <w:rPr>
          <w:rFonts w:ascii="Arial" w:hAnsi="Arial" w:cs="Arial"/>
        </w:rPr>
        <w:lastRenderedPageBreak/>
        <w:t xml:space="preserve">the MDRO/CDI Module. Specifically, if your facility </w:t>
      </w:r>
      <w:proofErr w:type="gramStart"/>
      <w:r w:rsidRPr="001B24F3">
        <w:rPr>
          <w:rFonts w:ascii="Arial" w:hAnsi="Arial" w:cs="Arial"/>
        </w:rPr>
        <w:t>performs same-day</w:t>
      </w:r>
      <w:proofErr w:type="gramEnd"/>
      <w:r w:rsidRPr="001B24F3">
        <w:rPr>
          <w:rFonts w:ascii="Arial" w:hAnsi="Arial" w:cs="Arial"/>
        </w:rPr>
        <w:t xml:space="preserve"> surgical procedures in an inpatient location, those admissions would be counted towards an AU admission and not a MDRO/CDI admission.</w:t>
      </w:r>
    </w:p>
    <w:p w14:paraId="42312091" w14:textId="77777777" w:rsidR="001B24F3" w:rsidRPr="001B24F3" w:rsidRDefault="001B24F3" w:rsidP="00B832D7">
      <w:pPr>
        <w:pStyle w:val="NoSpacing"/>
        <w:rPr>
          <w:rFonts w:ascii="Arial" w:hAnsi="Arial" w:cs="Arial"/>
        </w:rPr>
      </w:pPr>
    </w:p>
    <w:tbl>
      <w:tblPr>
        <w:tblStyle w:val="TableGrid"/>
        <w:tblW w:w="8463" w:type="dxa"/>
        <w:jc w:val="center"/>
        <w:tblLook w:val="04A0" w:firstRow="1" w:lastRow="0" w:firstColumn="1" w:lastColumn="0" w:noHBand="0" w:noVBand="1"/>
      </w:tblPr>
      <w:tblGrid>
        <w:gridCol w:w="2115"/>
        <w:gridCol w:w="2116"/>
        <w:gridCol w:w="2116"/>
        <w:gridCol w:w="2116"/>
      </w:tblGrid>
      <w:tr w:rsidR="001B24F3" w:rsidRPr="001B24F3" w14:paraId="65224CB5" w14:textId="77777777" w:rsidTr="001B24F3">
        <w:trPr>
          <w:jc w:val="center"/>
        </w:trPr>
        <w:tc>
          <w:tcPr>
            <w:tcW w:w="2115" w:type="dxa"/>
          </w:tcPr>
          <w:p w14:paraId="5DFC8D58" w14:textId="77777777" w:rsidR="001B24F3" w:rsidRPr="001B24F3" w:rsidRDefault="001B24F3" w:rsidP="00C12D3A">
            <w:pPr>
              <w:pStyle w:val="NoSpacing"/>
              <w:jc w:val="center"/>
              <w:rPr>
                <w:rFonts w:ascii="Arial" w:hAnsi="Arial" w:cs="Arial"/>
                <w:b/>
                <w:bCs/>
              </w:rPr>
            </w:pPr>
            <w:r w:rsidRPr="001B24F3">
              <w:rPr>
                <w:rFonts w:ascii="Arial" w:hAnsi="Arial" w:cs="Arial"/>
                <w:b/>
                <w:bCs/>
              </w:rPr>
              <w:t>Month/Year</w:t>
            </w:r>
          </w:p>
        </w:tc>
        <w:tc>
          <w:tcPr>
            <w:tcW w:w="2116" w:type="dxa"/>
          </w:tcPr>
          <w:p w14:paraId="3CC73F84" w14:textId="77777777" w:rsidR="001B24F3" w:rsidRPr="001B24F3" w:rsidRDefault="001B24F3" w:rsidP="00C12D3A">
            <w:pPr>
              <w:pStyle w:val="NoSpacing"/>
              <w:jc w:val="center"/>
              <w:rPr>
                <w:rFonts w:ascii="Arial" w:hAnsi="Arial" w:cs="Arial"/>
                <w:b/>
                <w:bCs/>
              </w:rPr>
            </w:pPr>
            <w:r w:rsidRPr="001B24F3">
              <w:rPr>
                <w:rFonts w:ascii="Arial" w:hAnsi="Arial" w:cs="Arial"/>
                <w:b/>
                <w:bCs/>
              </w:rPr>
              <w:t>Total AU Admissions for</w:t>
            </w:r>
          </w:p>
          <w:p w14:paraId="42DC6D91" w14:textId="77777777" w:rsidR="001B24F3" w:rsidRPr="001B24F3" w:rsidRDefault="001B24F3" w:rsidP="00C12D3A">
            <w:pPr>
              <w:pStyle w:val="NoSpacing"/>
              <w:jc w:val="center"/>
              <w:rPr>
                <w:rFonts w:ascii="Arial" w:hAnsi="Arial" w:cs="Arial"/>
                <w:b/>
                <w:bCs/>
              </w:rPr>
            </w:pPr>
            <w:r w:rsidRPr="001B24F3">
              <w:rPr>
                <w:rFonts w:ascii="Arial" w:hAnsi="Arial" w:cs="Arial"/>
                <w:b/>
                <w:bCs/>
              </w:rPr>
              <w:t>FacWideIN</w:t>
            </w:r>
          </w:p>
        </w:tc>
        <w:tc>
          <w:tcPr>
            <w:tcW w:w="2116" w:type="dxa"/>
          </w:tcPr>
          <w:p w14:paraId="1D641983" w14:textId="79467096" w:rsidR="001B24F3" w:rsidRPr="001B24F3" w:rsidRDefault="001B24F3" w:rsidP="00C12D3A">
            <w:pPr>
              <w:pStyle w:val="NoSpacing"/>
              <w:jc w:val="center"/>
              <w:rPr>
                <w:rFonts w:ascii="Arial" w:hAnsi="Arial" w:cs="Arial"/>
                <w:b/>
                <w:bCs/>
              </w:rPr>
            </w:pPr>
            <w:r w:rsidRPr="001B24F3">
              <w:rPr>
                <w:rFonts w:ascii="Arial" w:hAnsi="Arial" w:cs="Arial"/>
                <w:b/>
                <w:bCs/>
              </w:rPr>
              <w:t>Total HAI MDRO/CDI Admissions</w:t>
            </w:r>
            <w:r w:rsidR="00B5530D">
              <w:rPr>
                <w:rFonts w:ascii="Arial" w:hAnsi="Arial" w:cs="Arial"/>
                <w:b/>
                <w:bCs/>
              </w:rPr>
              <w:t xml:space="preserve"> for </w:t>
            </w:r>
            <w:r w:rsidR="00B5530D" w:rsidRPr="001B24F3">
              <w:rPr>
                <w:rFonts w:ascii="Arial" w:hAnsi="Arial" w:cs="Arial"/>
                <w:b/>
                <w:bCs/>
              </w:rPr>
              <w:t>FacWideIN</w:t>
            </w:r>
          </w:p>
        </w:tc>
        <w:tc>
          <w:tcPr>
            <w:tcW w:w="2116" w:type="dxa"/>
          </w:tcPr>
          <w:p w14:paraId="24337528" w14:textId="77777777" w:rsidR="001B24F3" w:rsidRPr="001B24F3" w:rsidRDefault="001B24F3" w:rsidP="00C12D3A">
            <w:pPr>
              <w:pStyle w:val="NoSpacing"/>
              <w:jc w:val="center"/>
              <w:rPr>
                <w:rFonts w:ascii="Arial" w:hAnsi="Arial" w:cs="Arial"/>
                <w:b/>
                <w:bCs/>
              </w:rPr>
            </w:pPr>
            <w:r w:rsidRPr="001B24F3">
              <w:rPr>
                <w:rFonts w:ascii="Arial" w:hAnsi="Arial" w:cs="Arial"/>
                <w:b/>
                <w:bCs/>
              </w:rPr>
              <w:t>Total AR Admissions for FacWideIN</w:t>
            </w:r>
          </w:p>
        </w:tc>
      </w:tr>
      <w:tr w:rsidR="001B24F3" w:rsidRPr="001B24F3" w14:paraId="49DA4AC4" w14:textId="77777777" w:rsidTr="001B24F3">
        <w:trPr>
          <w:jc w:val="center"/>
        </w:trPr>
        <w:tc>
          <w:tcPr>
            <w:tcW w:w="2115" w:type="dxa"/>
          </w:tcPr>
          <w:p w14:paraId="6FE59909" w14:textId="77777777" w:rsidR="001B24F3" w:rsidRPr="001B24F3" w:rsidRDefault="001B24F3" w:rsidP="00C12D3A">
            <w:pPr>
              <w:pStyle w:val="NoSpacing"/>
              <w:rPr>
                <w:rFonts w:ascii="Arial" w:hAnsi="Arial" w:cs="Arial"/>
              </w:rPr>
            </w:pPr>
          </w:p>
        </w:tc>
        <w:tc>
          <w:tcPr>
            <w:tcW w:w="2116" w:type="dxa"/>
          </w:tcPr>
          <w:p w14:paraId="562CF3F1" w14:textId="77777777" w:rsidR="001B24F3" w:rsidRPr="001B24F3" w:rsidRDefault="001B24F3" w:rsidP="00C12D3A">
            <w:pPr>
              <w:pStyle w:val="NoSpacing"/>
              <w:rPr>
                <w:rFonts w:ascii="Arial" w:hAnsi="Arial" w:cs="Arial"/>
              </w:rPr>
            </w:pPr>
          </w:p>
        </w:tc>
        <w:tc>
          <w:tcPr>
            <w:tcW w:w="2116" w:type="dxa"/>
          </w:tcPr>
          <w:p w14:paraId="15974031" w14:textId="77777777" w:rsidR="001B24F3" w:rsidRPr="001B24F3" w:rsidRDefault="001B24F3" w:rsidP="00C12D3A">
            <w:pPr>
              <w:pStyle w:val="NoSpacing"/>
              <w:rPr>
                <w:rFonts w:ascii="Arial" w:hAnsi="Arial" w:cs="Arial"/>
              </w:rPr>
            </w:pPr>
          </w:p>
        </w:tc>
        <w:tc>
          <w:tcPr>
            <w:tcW w:w="2116" w:type="dxa"/>
          </w:tcPr>
          <w:p w14:paraId="668650E5" w14:textId="77777777" w:rsidR="001B24F3" w:rsidRPr="001B24F3" w:rsidRDefault="001B24F3" w:rsidP="00C12D3A">
            <w:pPr>
              <w:pStyle w:val="NoSpacing"/>
              <w:rPr>
                <w:rFonts w:ascii="Arial" w:hAnsi="Arial" w:cs="Arial"/>
              </w:rPr>
            </w:pPr>
          </w:p>
        </w:tc>
      </w:tr>
      <w:tr w:rsidR="001B24F3" w:rsidRPr="001B24F3" w14:paraId="0B115DC5" w14:textId="77777777" w:rsidTr="001B24F3">
        <w:trPr>
          <w:jc w:val="center"/>
        </w:trPr>
        <w:tc>
          <w:tcPr>
            <w:tcW w:w="2115" w:type="dxa"/>
          </w:tcPr>
          <w:p w14:paraId="5673186B" w14:textId="77777777" w:rsidR="001B24F3" w:rsidRPr="001B24F3" w:rsidRDefault="001B24F3" w:rsidP="00C12D3A">
            <w:pPr>
              <w:pStyle w:val="NoSpacing"/>
              <w:rPr>
                <w:rFonts w:ascii="Arial" w:hAnsi="Arial" w:cs="Arial"/>
              </w:rPr>
            </w:pPr>
          </w:p>
        </w:tc>
        <w:tc>
          <w:tcPr>
            <w:tcW w:w="2116" w:type="dxa"/>
          </w:tcPr>
          <w:p w14:paraId="187CAB32" w14:textId="77777777" w:rsidR="001B24F3" w:rsidRPr="001B24F3" w:rsidRDefault="001B24F3" w:rsidP="00C12D3A">
            <w:pPr>
              <w:pStyle w:val="NoSpacing"/>
              <w:rPr>
                <w:rFonts w:ascii="Arial" w:hAnsi="Arial" w:cs="Arial"/>
              </w:rPr>
            </w:pPr>
          </w:p>
        </w:tc>
        <w:tc>
          <w:tcPr>
            <w:tcW w:w="2116" w:type="dxa"/>
          </w:tcPr>
          <w:p w14:paraId="01C06D57" w14:textId="77777777" w:rsidR="001B24F3" w:rsidRPr="001B24F3" w:rsidRDefault="001B24F3" w:rsidP="00C12D3A">
            <w:pPr>
              <w:pStyle w:val="NoSpacing"/>
              <w:rPr>
                <w:rFonts w:ascii="Arial" w:hAnsi="Arial" w:cs="Arial"/>
              </w:rPr>
            </w:pPr>
          </w:p>
        </w:tc>
        <w:tc>
          <w:tcPr>
            <w:tcW w:w="2116" w:type="dxa"/>
          </w:tcPr>
          <w:p w14:paraId="4E2F63B8" w14:textId="77777777" w:rsidR="001B24F3" w:rsidRPr="001B24F3" w:rsidRDefault="001B24F3" w:rsidP="00C12D3A">
            <w:pPr>
              <w:pStyle w:val="NoSpacing"/>
              <w:rPr>
                <w:rFonts w:ascii="Arial" w:hAnsi="Arial" w:cs="Arial"/>
              </w:rPr>
            </w:pPr>
          </w:p>
        </w:tc>
      </w:tr>
      <w:tr w:rsidR="001B24F3" w:rsidRPr="001B24F3" w14:paraId="2CEF62B1" w14:textId="77777777" w:rsidTr="001B24F3">
        <w:trPr>
          <w:jc w:val="center"/>
        </w:trPr>
        <w:tc>
          <w:tcPr>
            <w:tcW w:w="2115" w:type="dxa"/>
          </w:tcPr>
          <w:p w14:paraId="34470378" w14:textId="77777777" w:rsidR="001B24F3" w:rsidRPr="001B24F3" w:rsidRDefault="001B24F3" w:rsidP="00C12D3A">
            <w:pPr>
              <w:pStyle w:val="NoSpacing"/>
              <w:rPr>
                <w:rFonts w:ascii="Arial" w:hAnsi="Arial" w:cs="Arial"/>
              </w:rPr>
            </w:pPr>
          </w:p>
        </w:tc>
        <w:tc>
          <w:tcPr>
            <w:tcW w:w="2116" w:type="dxa"/>
          </w:tcPr>
          <w:p w14:paraId="235CCF36" w14:textId="77777777" w:rsidR="001B24F3" w:rsidRPr="001B24F3" w:rsidRDefault="001B24F3" w:rsidP="00C12D3A">
            <w:pPr>
              <w:pStyle w:val="NoSpacing"/>
              <w:rPr>
                <w:rFonts w:ascii="Arial" w:hAnsi="Arial" w:cs="Arial"/>
              </w:rPr>
            </w:pPr>
          </w:p>
        </w:tc>
        <w:tc>
          <w:tcPr>
            <w:tcW w:w="2116" w:type="dxa"/>
          </w:tcPr>
          <w:p w14:paraId="3A86226F" w14:textId="77777777" w:rsidR="001B24F3" w:rsidRPr="001B24F3" w:rsidRDefault="001B24F3" w:rsidP="00C12D3A">
            <w:pPr>
              <w:pStyle w:val="NoSpacing"/>
              <w:rPr>
                <w:rFonts w:ascii="Arial" w:hAnsi="Arial" w:cs="Arial"/>
              </w:rPr>
            </w:pPr>
          </w:p>
        </w:tc>
        <w:tc>
          <w:tcPr>
            <w:tcW w:w="2116" w:type="dxa"/>
          </w:tcPr>
          <w:p w14:paraId="46E3D1AB" w14:textId="77777777" w:rsidR="001B24F3" w:rsidRPr="001B24F3" w:rsidRDefault="001B24F3" w:rsidP="00C12D3A">
            <w:pPr>
              <w:pStyle w:val="NoSpacing"/>
              <w:rPr>
                <w:rFonts w:ascii="Arial" w:hAnsi="Arial" w:cs="Arial"/>
              </w:rPr>
            </w:pPr>
          </w:p>
        </w:tc>
      </w:tr>
      <w:tr w:rsidR="001B24F3" w:rsidRPr="001B24F3" w14:paraId="190CE8F4" w14:textId="77777777" w:rsidTr="001B24F3">
        <w:trPr>
          <w:jc w:val="center"/>
        </w:trPr>
        <w:tc>
          <w:tcPr>
            <w:tcW w:w="2115" w:type="dxa"/>
          </w:tcPr>
          <w:p w14:paraId="76A9E468" w14:textId="77777777" w:rsidR="001B24F3" w:rsidRPr="001B24F3" w:rsidRDefault="001B24F3" w:rsidP="00C12D3A">
            <w:pPr>
              <w:pStyle w:val="NoSpacing"/>
              <w:rPr>
                <w:rFonts w:ascii="Arial" w:hAnsi="Arial" w:cs="Arial"/>
              </w:rPr>
            </w:pPr>
          </w:p>
        </w:tc>
        <w:tc>
          <w:tcPr>
            <w:tcW w:w="2116" w:type="dxa"/>
          </w:tcPr>
          <w:p w14:paraId="6EAC6E40" w14:textId="77777777" w:rsidR="001B24F3" w:rsidRPr="001B24F3" w:rsidRDefault="001B24F3" w:rsidP="00C12D3A">
            <w:pPr>
              <w:pStyle w:val="NoSpacing"/>
              <w:rPr>
                <w:rFonts w:ascii="Arial" w:hAnsi="Arial" w:cs="Arial"/>
              </w:rPr>
            </w:pPr>
          </w:p>
        </w:tc>
        <w:tc>
          <w:tcPr>
            <w:tcW w:w="2116" w:type="dxa"/>
          </w:tcPr>
          <w:p w14:paraId="680E92D8" w14:textId="77777777" w:rsidR="001B24F3" w:rsidRPr="001B24F3" w:rsidRDefault="001B24F3" w:rsidP="00C12D3A">
            <w:pPr>
              <w:pStyle w:val="NoSpacing"/>
              <w:rPr>
                <w:rFonts w:ascii="Arial" w:hAnsi="Arial" w:cs="Arial"/>
              </w:rPr>
            </w:pPr>
          </w:p>
        </w:tc>
        <w:tc>
          <w:tcPr>
            <w:tcW w:w="2116" w:type="dxa"/>
          </w:tcPr>
          <w:p w14:paraId="12246394" w14:textId="77777777" w:rsidR="001B24F3" w:rsidRPr="001B24F3" w:rsidRDefault="001B24F3" w:rsidP="00C12D3A">
            <w:pPr>
              <w:pStyle w:val="NoSpacing"/>
              <w:rPr>
                <w:rFonts w:ascii="Arial" w:hAnsi="Arial" w:cs="Arial"/>
              </w:rPr>
            </w:pPr>
          </w:p>
        </w:tc>
      </w:tr>
    </w:tbl>
    <w:p w14:paraId="1E769DD5" w14:textId="77777777" w:rsidR="001B24F3" w:rsidRPr="001B24F3" w:rsidRDefault="001B24F3" w:rsidP="00B70C63">
      <w:pPr>
        <w:pStyle w:val="BulletsCDC"/>
        <w:numPr>
          <w:ilvl w:val="0"/>
          <w:numId w:val="0"/>
        </w:numPr>
        <w:spacing w:after="0" w:line="240" w:lineRule="auto"/>
        <w:ind w:left="504" w:right="0" w:hanging="360"/>
        <w:rPr>
          <w:rFonts w:cs="Arial"/>
          <w:szCs w:val="22"/>
        </w:rPr>
      </w:pPr>
    </w:p>
    <w:p w14:paraId="25AEBFE0" w14:textId="77777777" w:rsidR="001B24F3" w:rsidRPr="001B24F3" w:rsidRDefault="001B24F3" w:rsidP="00C12D3A">
      <w:pPr>
        <w:pStyle w:val="NoSpacing"/>
        <w:numPr>
          <w:ilvl w:val="0"/>
          <w:numId w:val="17"/>
        </w:numPr>
        <w:rPr>
          <w:rFonts w:ascii="Arial" w:hAnsi="Arial" w:cs="Arial"/>
          <w:b/>
          <w:bCs/>
        </w:rPr>
      </w:pPr>
      <w:r w:rsidRPr="001B24F3">
        <w:rPr>
          <w:rFonts w:ascii="Arial" w:hAnsi="Arial" w:cs="Arial"/>
        </w:rPr>
        <w:t>Confirm</w:t>
      </w:r>
      <w:r w:rsidRPr="001B24F3">
        <w:rPr>
          <w:rFonts w:ascii="Arial" w:hAnsi="Arial" w:cs="Arial"/>
          <w:b/>
          <w:bCs/>
        </w:rPr>
        <w:t xml:space="preserve"> </w:t>
      </w:r>
      <w:r w:rsidRPr="001B24F3">
        <w:rPr>
          <w:rFonts w:ascii="Arial" w:hAnsi="Arial" w:cs="Arial"/>
        </w:rPr>
        <w:t>the admissions reported within the AU and AR Options are roughly the same.</w:t>
      </w:r>
    </w:p>
    <w:p w14:paraId="6F269209" w14:textId="77777777" w:rsidR="00763EB6" w:rsidRDefault="00763EB6" w:rsidP="00B832D7">
      <w:pPr>
        <w:pStyle w:val="NoSpacing"/>
        <w:rPr>
          <w:rFonts w:ascii="Arial" w:hAnsi="Arial" w:cs="Arial"/>
          <w:b/>
          <w:bCs/>
        </w:rPr>
      </w:pPr>
    </w:p>
    <w:p w14:paraId="3C03C380" w14:textId="3CD1E787" w:rsidR="001B24F3" w:rsidRDefault="001B24F3" w:rsidP="00C12D3A">
      <w:pPr>
        <w:pStyle w:val="NoSpacing"/>
        <w:ind w:left="720"/>
        <w:rPr>
          <w:rFonts w:ascii="Arial" w:hAnsi="Arial" w:cs="Arial"/>
        </w:rPr>
      </w:pPr>
      <w:r w:rsidRPr="001B24F3">
        <w:rPr>
          <w:rFonts w:ascii="Arial" w:hAnsi="Arial" w:cs="Arial"/>
          <w:b/>
          <w:bCs/>
        </w:rPr>
        <w:t>Note</w:t>
      </w:r>
      <w:r w:rsidRPr="000B0909">
        <w:rPr>
          <w:rFonts w:ascii="Arial" w:hAnsi="Arial" w:cs="Arial"/>
        </w:rPr>
        <w:t>:</w:t>
      </w:r>
      <w:r w:rsidRPr="001B24F3">
        <w:rPr>
          <w:rFonts w:ascii="Arial" w:hAnsi="Arial" w:cs="Arial"/>
          <w:b/>
          <w:bCs/>
        </w:rPr>
        <w:t xml:space="preserve"> </w:t>
      </w:r>
      <w:r w:rsidR="005608A4">
        <w:rPr>
          <w:rFonts w:ascii="Arial" w:hAnsi="Arial" w:cs="Arial"/>
        </w:rPr>
        <w:t>T</w:t>
      </w:r>
      <w:r w:rsidRPr="001B24F3">
        <w:rPr>
          <w:rFonts w:ascii="Arial" w:hAnsi="Arial" w:cs="Arial"/>
        </w:rPr>
        <w:t>hese definitions are the same, but counts could vary if specific inpatient locations were included in one reporting option but not the other.</w:t>
      </w:r>
    </w:p>
    <w:p w14:paraId="344623AD" w14:textId="77777777" w:rsidR="001B24F3" w:rsidRDefault="001B24F3" w:rsidP="00C12D3A">
      <w:pPr>
        <w:pStyle w:val="NoSpacing"/>
        <w:rPr>
          <w:rFonts w:ascii="Arial" w:hAnsi="Arial" w:cs="Arial"/>
          <w:b/>
          <w:bCs/>
        </w:rPr>
      </w:pPr>
    </w:p>
    <w:p w14:paraId="349E4BDA" w14:textId="4ACA6E32" w:rsidR="001B24F3" w:rsidRDefault="001B24F3" w:rsidP="00B70C63">
      <w:pPr>
        <w:pStyle w:val="BulletsCDC"/>
        <w:numPr>
          <w:ilvl w:val="0"/>
          <w:numId w:val="0"/>
        </w:numPr>
        <w:spacing w:after="0" w:line="240" w:lineRule="auto"/>
        <w:ind w:right="0"/>
        <w:rPr>
          <w:rFonts w:eastAsiaTheme="majorEastAsia" w:cstheme="majorBidi"/>
          <w:b/>
          <w:color w:val="004189" w:themeColor="accent1" w:themeShade="BF"/>
          <w:sz w:val="26"/>
        </w:rPr>
      </w:pPr>
      <w:r w:rsidRPr="001B24F3">
        <w:rPr>
          <w:rFonts w:eastAsiaTheme="majorEastAsia" w:cstheme="majorBidi"/>
          <w:b/>
          <w:color w:val="004189" w:themeColor="accent1" w:themeShade="BF"/>
          <w:sz w:val="26"/>
        </w:rPr>
        <w:t>Outpatient days present and encounters</w:t>
      </w:r>
    </w:p>
    <w:p w14:paraId="19DF8607" w14:textId="77777777" w:rsidR="00763EB6" w:rsidRDefault="00763EB6" w:rsidP="00C12D3A">
      <w:pPr>
        <w:pStyle w:val="NoSpacing"/>
        <w:rPr>
          <w:rFonts w:ascii="Arial" w:hAnsi="Arial" w:cs="Arial"/>
          <w:b/>
          <w:bCs/>
        </w:rPr>
      </w:pPr>
    </w:p>
    <w:p w14:paraId="3B4FB92F" w14:textId="29A77FD3" w:rsidR="001B24F3" w:rsidRPr="001B24F3" w:rsidRDefault="001B24F3" w:rsidP="00C12D3A">
      <w:pPr>
        <w:pStyle w:val="NoSpacing"/>
        <w:rPr>
          <w:rFonts w:ascii="Arial" w:hAnsi="Arial" w:cs="Arial"/>
        </w:rPr>
      </w:pPr>
      <w:r w:rsidRPr="001B24F3">
        <w:rPr>
          <w:rFonts w:ascii="Arial" w:hAnsi="Arial" w:cs="Arial"/>
          <w:b/>
          <w:bCs/>
        </w:rPr>
        <w:t>Methodology</w:t>
      </w:r>
      <w:r w:rsidRPr="001B24F3">
        <w:rPr>
          <w:rFonts w:ascii="Arial" w:hAnsi="Arial" w:cs="Arial"/>
        </w:rPr>
        <w:t xml:space="preserve">: Comparing the AU days present from outpatient locations to the outpatient encounters from the MDRO/CDI Module provides a helpful starting place for determining if there are issues with the denominator for AU encounters in outpatient settings. It’s important to ensure the denominators for AU days present in outpatient locations are correct due to their inclusion in AU rates for outpatient locations. Please list the days present and encounters reported for the ED, pediatric ED, and 24-hour observation locations </w:t>
      </w:r>
      <w:proofErr w:type="gramStart"/>
      <w:r w:rsidRPr="001B24F3">
        <w:rPr>
          <w:rFonts w:ascii="Arial" w:hAnsi="Arial" w:cs="Arial"/>
        </w:rPr>
        <w:t>in</w:t>
      </w:r>
      <w:proofErr w:type="gramEnd"/>
      <w:r w:rsidRPr="001B24F3">
        <w:rPr>
          <w:rFonts w:ascii="Arial" w:hAnsi="Arial" w:cs="Arial"/>
        </w:rPr>
        <w:t xml:space="preserve"> the table below, as applicable. Enter either the AU days present in the vendor system or the values reported to NHSN. You can find the MDRO/CDI encounters in the MDRO/CDI Module summary records in NHSN used for LabID reporting. You may need to ask your IP for help finding these numbers within NHSN. </w:t>
      </w:r>
    </w:p>
    <w:p w14:paraId="7C801F28" w14:textId="77777777" w:rsidR="001B24F3" w:rsidRPr="001B24F3" w:rsidRDefault="001B24F3" w:rsidP="00C12D3A">
      <w:pPr>
        <w:pStyle w:val="NoSpacing"/>
        <w:rPr>
          <w:rFonts w:ascii="Arial" w:hAnsi="Arial" w:cs="Arial"/>
        </w:rPr>
      </w:pPr>
    </w:p>
    <w:p w14:paraId="5A382EA0" w14:textId="77777777" w:rsidR="001B24F3" w:rsidRPr="001B24F3" w:rsidRDefault="001B24F3" w:rsidP="00C12D3A">
      <w:pPr>
        <w:pStyle w:val="NoSpacing"/>
        <w:rPr>
          <w:rFonts w:ascii="Arial" w:hAnsi="Arial" w:cs="Arial"/>
        </w:rPr>
      </w:pPr>
      <w:r w:rsidRPr="001B24F3">
        <w:rPr>
          <w:rFonts w:ascii="Arial" w:hAnsi="Arial" w:cs="Arial"/>
        </w:rPr>
        <w:t xml:space="preserve">Based on internal NHSN analyses, for most facilities (90%), the ED and 24-hour observation AU </w:t>
      </w:r>
      <w:proofErr w:type="gramStart"/>
      <w:r w:rsidRPr="001B24F3">
        <w:rPr>
          <w:rFonts w:ascii="Arial" w:hAnsi="Arial" w:cs="Arial"/>
        </w:rPr>
        <w:t>days present</w:t>
      </w:r>
      <w:proofErr w:type="gramEnd"/>
      <w:r w:rsidRPr="001B24F3">
        <w:rPr>
          <w:rFonts w:ascii="Arial" w:hAnsi="Arial" w:cs="Arial"/>
        </w:rPr>
        <w:t xml:space="preserve"> are &lt;70% higher than the MDRO/CDI encounters for the same month/location.</w:t>
      </w:r>
    </w:p>
    <w:p w14:paraId="41126210" w14:textId="77777777" w:rsidR="00C5635B" w:rsidRDefault="00C5635B" w:rsidP="00C12D3A">
      <w:pPr>
        <w:spacing w:before="0" w:after="0" w:line="240" w:lineRule="auto"/>
        <w:rPr>
          <w:rFonts w:cs="Arial"/>
          <w:szCs w:val="22"/>
        </w:rPr>
      </w:pPr>
    </w:p>
    <w:tbl>
      <w:tblPr>
        <w:tblStyle w:val="TableGrid"/>
        <w:tblW w:w="0" w:type="auto"/>
        <w:jc w:val="center"/>
        <w:tblLook w:val="04A0" w:firstRow="1" w:lastRow="0" w:firstColumn="1" w:lastColumn="0" w:noHBand="0" w:noVBand="1"/>
      </w:tblPr>
      <w:tblGrid>
        <w:gridCol w:w="2790"/>
        <w:gridCol w:w="1414"/>
        <w:gridCol w:w="1871"/>
        <w:gridCol w:w="1871"/>
        <w:gridCol w:w="1871"/>
      </w:tblGrid>
      <w:tr w:rsidR="00C5635B" w:rsidRPr="001B24F3" w14:paraId="087C6F83" w14:textId="77777777" w:rsidTr="00B70C63">
        <w:trPr>
          <w:cantSplit/>
          <w:jc w:val="center"/>
        </w:trPr>
        <w:tc>
          <w:tcPr>
            <w:tcW w:w="2790" w:type="dxa"/>
            <w:vAlign w:val="center"/>
          </w:tcPr>
          <w:p w14:paraId="7948E02B" w14:textId="77777777" w:rsidR="00C5635B" w:rsidRPr="001B24F3" w:rsidRDefault="00C5635B" w:rsidP="00C12D3A">
            <w:pPr>
              <w:pStyle w:val="NoSpacing"/>
              <w:rPr>
                <w:rFonts w:ascii="Arial" w:hAnsi="Arial" w:cs="Arial"/>
                <w:b/>
              </w:rPr>
            </w:pPr>
            <w:r w:rsidRPr="001B24F3">
              <w:rPr>
                <w:rFonts w:ascii="Arial" w:hAnsi="Arial" w:cs="Arial"/>
                <w:b/>
              </w:rPr>
              <w:t>Location</w:t>
            </w:r>
          </w:p>
        </w:tc>
        <w:tc>
          <w:tcPr>
            <w:tcW w:w="1414" w:type="dxa"/>
            <w:vAlign w:val="center"/>
          </w:tcPr>
          <w:p w14:paraId="7BCCC216" w14:textId="77777777" w:rsidR="00C5635B" w:rsidRPr="001B24F3" w:rsidRDefault="00C5635B" w:rsidP="00C12D3A">
            <w:pPr>
              <w:pStyle w:val="NoSpacing"/>
              <w:rPr>
                <w:rFonts w:ascii="Arial" w:hAnsi="Arial" w:cs="Arial"/>
                <w:b/>
              </w:rPr>
            </w:pPr>
            <w:r w:rsidRPr="001B24F3">
              <w:rPr>
                <w:rFonts w:ascii="Arial" w:hAnsi="Arial" w:cs="Arial"/>
                <w:b/>
              </w:rPr>
              <w:t>Month/Year</w:t>
            </w:r>
          </w:p>
        </w:tc>
        <w:tc>
          <w:tcPr>
            <w:tcW w:w="1871" w:type="dxa"/>
            <w:vAlign w:val="center"/>
          </w:tcPr>
          <w:p w14:paraId="793EB88E" w14:textId="77777777" w:rsidR="00C5635B" w:rsidRPr="001B24F3" w:rsidRDefault="00C5635B" w:rsidP="00C12D3A">
            <w:pPr>
              <w:pStyle w:val="NoSpacing"/>
              <w:rPr>
                <w:rFonts w:ascii="Arial" w:hAnsi="Arial" w:cs="Arial"/>
                <w:b/>
              </w:rPr>
            </w:pPr>
            <w:r w:rsidRPr="001B24F3">
              <w:rPr>
                <w:rFonts w:ascii="Arial" w:hAnsi="Arial" w:cs="Arial"/>
                <w:b/>
              </w:rPr>
              <w:t>Total AU Days Present</w:t>
            </w:r>
          </w:p>
        </w:tc>
        <w:tc>
          <w:tcPr>
            <w:tcW w:w="1871" w:type="dxa"/>
            <w:vAlign w:val="center"/>
          </w:tcPr>
          <w:p w14:paraId="763B1572" w14:textId="77777777" w:rsidR="00C5635B" w:rsidRPr="001B24F3" w:rsidRDefault="00C5635B" w:rsidP="00C12D3A">
            <w:pPr>
              <w:pStyle w:val="NoSpacing"/>
              <w:rPr>
                <w:rFonts w:ascii="Arial" w:hAnsi="Arial" w:cs="Arial"/>
                <w:b/>
              </w:rPr>
            </w:pPr>
            <w:r w:rsidRPr="001B24F3">
              <w:rPr>
                <w:rFonts w:ascii="Arial" w:hAnsi="Arial" w:cs="Arial"/>
                <w:b/>
              </w:rPr>
              <w:t>Total MDRO/CDI Encounters</w:t>
            </w:r>
          </w:p>
        </w:tc>
        <w:tc>
          <w:tcPr>
            <w:tcW w:w="1871" w:type="dxa"/>
            <w:vAlign w:val="center"/>
          </w:tcPr>
          <w:p w14:paraId="53B2ABFA" w14:textId="77777777" w:rsidR="00C5635B" w:rsidRPr="001B24F3" w:rsidRDefault="00C5635B" w:rsidP="00C12D3A">
            <w:pPr>
              <w:pStyle w:val="NoSpacing"/>
              <w:rPr>
                <w:rFonts w:ascii="Arial" w:hAnsi="Arial" w:cs="Arial"/>
                <w:b/>
              </w:rPr>
            </w:pPr>
            <w:r w:rsidRPr="001B24F3">
              <w:rPr>
                <w:rFonts w:ascii="Arial" w:hAnsi="Arial" w:cs="Arial"/>
                <w:b/>
              </w:rPr>
              <w:t>Percent Difference</w:t>
            </w:r>
          </w:p>
        </w:tc>
      </w:tr>
      <w:tr w:rsidR="00C5635B" w:rsidRPr="001B24F3" w14:paraId="5356BF71" w14:textId="77777777" w:rsidTr="00B70C63">
        <w:trPr>
          <w:cantSplit/>
          <w:jc w:val="center"/>
        </w:trPr>
        <w:tc>
          <w:tcPr>
            <w:tcW w:w="2790" w:type="dxa"/>
            <w:vAlign w:val="center"/>
          </w:tcPr>
          <w:p w14:paraId="28CEB854" w14:textId="77777777" w:rsidR="00C5635B" w:rsidRPr="001B24F3" w:rsidRDefault="00C5635B" w:rsidP="00C12D3A">
            <w:pPr>
              <w:pStyle w:val="NoSpacing"/>
              <w:rPr>
                <w:rFonts w:ascii="Arial" w:hAnsi="Arial" w:cs="Arial"/>
              </w:rPr>
            </w:pPr>
            <w:r w:rsidRPr="001B24F3">
              <w:rPr>
                <w:rFonts w:ascii="Arial" w:hAnsi="Arial" w:cs="Arial"/>
                <w:b/>
              </w:rPr>
              <w:t>Emergency Department</w:t>
            </w:r>
          </w:p>
        </w:tc>
        <w:tc>
          <w:tcPr>
            <w:tcW w:w="1414" w:type="dxa"/>
          </w:tcPr>
          <w:p w14:paraId="1D8229C9" w14:textId="77777777" w:rsidR="00C5635B" w:rsidRPr="001B24F3" w:rsidRDefault="00C5635B" w:rsidP="00C12D3A">
            <w:pPr>
              <w:pStyle w:val="NoSpacing"/>
              <w:rPr>
                <w:rFonts w:ascii="Arial" w:hAnsi="Arial" w:cs="Arial"/>
              </w:rPr>
            </w:pPr>
          </w:p>
        </w:tc>
        <w:tc>
          <w:tcPr>
            <w:tcW w:w="1871" w:type="dxa"/>
          </w:tcPr>
          <w:p w14:paraId="2589D17F" w14:textId="77777777" w:rsidR="00C5635B" w:rsidRPr="001B24F3" w:rsidRDefault="00C5635B" w:rsidP="00C12D3A">
            <w:pPr>
              <w:pStyle w:val="NoSpacing"/>
              <w:rPr>
                <w:rFonts w:ascii="Arial" w:hAnsi="Arial" w:cs="Arial"/>
              </w:rPr>
            </w:pPr>
          </w:p>
        </w:tc>
        <w:tc>
          <w:tcPr>
            <w:tcW w:w="1871" w:type="dxa"/>
          </w:tcPr>
          <w:p w14:paraId="3336C7EF" w14:textId="77777777" w:rsidR="00C5635B" w:rsidRPr="001B24F3" w:rsidRDefault="00C5635B" w:rsidP="00C12D3A">
            <w:pPr>
              <w:pStyle w:val="NoSpacing"/>
              <w:rPr>
                <w:rFonts w:ascii="Arial" w:hAnsi="Arial" w:cs="Arial"/>
              </w:rPr>
            </w:pPr>
          </w:p>
        </w:tc>
        <w:tc>
          <w:tcPr>
            <w:tcW w:w="1871" w:type="dxa"/>
          </w:tcPr>
          <w:p w14:paraId="57A0EAA6" w14:textId="77777777" w:rsidR="00C5635B" w:rsidRPr="001B24F3" w:rsidRDefault="00C5635B" w:rsidP="00C12D3A">
            <w:pPr>
              <w:pStyle w:val="NoSpacing"/>
              <w:rPr>
                <w:rFonts w:ascii="Arial" w:hAnsi="Arial" w:cs="Arial"/>
              </w:rPr>
            </w:pPr>
          </w:p>
        </w:tc>
      </w:tr>
      <w:tr w:rsidR="00C5635B" w:rsidRPr="001B24F3" w14:paraId="2AF37EA8" w14:textId="77777777" w:rsidTr="00B70C63">
        <w:trPr>
          <w:cantSplit/>
          <w:jc w:val="center"/>
        </w:trPr>
        <w:tc>
          <w:tcPr>
            <w:tcW w:w="2790" w:type="dxa"/>
            <w:vAlign w:val="center"/>
          </w:tcPr>
          <w:p w14:paraId="41FB236C" w14:textId="77777777" w:rsidR="00C5635B" w:rsidRPr="001B24F3" w:rsidRDefault="00C5635B" w:rsidP="00C12D3A">
            <w:pPr>
              <w:pStyle w:val="NoSpacing"/>
              <w:rPr>
                <w:rFonts w:ascii="Arial" w:hAnsi="Arial" w:cs="Arial"/>
              </w:rPr>
            </w:pPr>
            <w:r w:rsidRPr="001B24F3">
              <w:rPr>
                <w:rFonts w:ascii="Arial" w:hAnsi="Arial" w:cs="Arial"/>
                <w:b/>
              </w:rPr>
              <w:t>Pediatric Emergency Department</w:t>
            </w:r>
          </w:p>
        </w:tc>
        <w:tc>
          <w:tcPr>
            <w:tcW w:w="1414" w:type="dxa"/>
          </w:tcPr>
          <w:p w14:paraId="5A8ACA1D" w14:textId="77777777" w:rsidR="00C5635B" w:rsidRPr="001B24F3" w:rsidRDefault="00C5635B" w:rsidP="00C12D3A">
            <w:pPr>
              <w:pStyle w:val="NoSpacing"/>
              <w:rPr>
                <w:rFonts w:ascii="Arial" w:hAnsi="Arial" w:cs="Arial"/>
              </w:rPr>
            </w:pPr>
          </w:p>
        </w:tc>
        <w:tc>
          <w:tcPr>
            <w:tcW w:w="1871" w:type="dxa"/>
          </w:tcPr>
          <w:p w14:paraId="1978993F" w14:textId="77777777" w:rsidR="00C5635B" w:rsidRPr="001B24F3" w:rsidRDefault="00C5635B" w:rsidP="00C12D3A">
            <w:pPr>
              <w:pStyle w:val="NoSpacing"/>
              <w:rPr>
                <w:rFonts w:ascii="Arial" w:hAnsi="Arial" w:cs="Arial"/>
              </w:rPr>
            </w:pPr>
          </w:p>
        </w:tc>
        <w:tc>
          <w:tcPr>
            <w:tcW w:w="1871" w:type="dxa"/>
          </w:tcPr>
          <w:p w14:paraId="429BD024" w14:textId="77777777" w:rsidR="00C5635B" w:rsidRPr="001B24F3" w:rsidRDefault="00C5635B" w:rsidP="00C12D3A">
            <w:pPr>
              <w:pStyle w:val="NoSpacing"/>
              <w:rPr>
                <w:rFonts w:ascii="Arial" w:hAnsi="Arial" w:cs="Arial"/>
              </w:rPr>
            </w:pPr>
          </w:p>
        </w:tc>
        <w:tc>
          <w:tcPr>
            <w:tcW w:w="1871" w:type="dxa"/>
          </w:tcPr>
          <w:p w14:paraId="6E8CCF24" w14:textId="77777777" w:rsidR="00C5635B" w:rsidRPr="001B24F3" w:rsidRDefault="00C5635B" w:rsidP="00C12D3A">
            <w:pPr>
              <w:pStyle w:val="NoSpacing"/>
              <w:rPr>
                <w:rFonts w:ascii="Arial" w:hAnsi="Arial" w:cs="Arial"/>
              </w:rPr>
            </w:pPr>
          </w:p>
        </w:tc>
      </w:tr>
      <w:tr w:rsidR="00C5635B" w:rsidRPr="001B24F3" w14:paraId="216CF55C" w14:textId="77777777" w:rsidTr="00B70C63">
        <w:trPr>
          <w:cantSplit/>
          <w:jc w:val="center"/>
        </w:trPr>
        <w:tc>
          <w:tcPr>
            <w:tcW w:w="2790" w:type="dxa"/>
            <w:vAlign w:val="center"/>
          </w:tcPr>
          <w:p w14:paraId="5A4EC022" w14:textId="77777777" w:rsidR="00C5635B" w:rsidRPr="001B24F3" w:rsidRDefault="00C5635B" w:rsidP="00C12D3A">
            <w:pPr>
              <w:pStyle w:val="NoSpacing"/>
              <w:rPr>
                <w:rFonts w:ascii="Arial" w:hAnsi="Arial" w:cs="Arial"/>
              </w:rPr>
            </w:pPr>
            <w:r w:rsidRPr="001B24F3">
              <w:rPr>
                <w:rFonts w:ascii="Arial" w:hAnsi="Arial" w:cs="Arial"/>
                <w:b/>
              </w:rPr>
              <w:t>24-hour Observation</w:t>
            </w:r>
          </w:p>
        </w:tc>
        <w:tc>
          <w:tcPr>
            <w:tcW w:w="1414" w:type="dxa"/>
          </w:tcPr>
          <w:p w14:paraId="1A2DAEAC" w14:textId="77777777" w:rsidR="00C5635B" w:rsidRPr="001B24F3" w:rsidRDefault="00C5635B" w:rsidP="00C12D3A">
            <w:pPr>
              <w:pStyle w:val="NoSpacing"/>
              <w:rPr>
                <w:rFonts w:ascii="Arial" w:hAnsi="Arial" w:cs="Arial"/>
              </w:rPr>
            </w:pPr>
          </w:p>
        </w:tc>
        <w:tc>
          <w:tcPr>
            <w:tcW w:w="1871" w:type="dxa"/>
          </w:tcPr>
          <w:p w14:paraId="6592B98D" w14:textId="77777777" w:rsidR="00C5635B" w:rsidRPr="001B24F3" w:rsidRDefault="00C5635B" w:rsidP="00C12D3A">
            <w:pPr>
              <w:pStyle w:val="NoSpacing"/>
              <w:rPr>
                <w:rFonts w:ascii="Arial" w:hAnsi="Arial" w:cs="Arial"/>
              </w:rPr>
            </w:pPr>
          </w:p>
        </w:tc>
        <w:tc>
          <w:tcPr>
            <w:tcW w:w="1871" w:type="dxa"/>
          </w:tcPr>
          <w:p w14:paraId="48E5317C" w14:textId="77777777" w:rsidR="00C5635B" w:rsidRPr="001B24F3" w:rsidRDefault="00C5635B" w:rsidP="00C12D3A">
            <w:pPr>
              <w:pStyle w:val="NoSpacing"/>
              <w:rPr>
                <w:rFonts w:ascii="Arial" w:hAnsi="Arial" w:cs="Arial"/>
              </w:rPr>
            </w:pPr>
          </w:p>
        </w:tc>
        <w:tc>
          <w:tcPr>
            <w:tcW w:w="1871" w:type="dxa"/>
          </w:tcPr>
          <w:p w14:paraId="1BA84508" w14:textId="77777777" w:rsidR="00C5635B" w:rsidRPr="001B24F3" w:rsidRDefault="00C5635B" w:rsidP="00C12D3A">
            <w:pPr>
              <w:pStyle w:val="NoSpacing"/>
              <w:rPr>
                <w:rFonts w:ascii="Arial" w:hAnsi="Arial" w:cs="Arial"/>
              </w:rPr>
            </w:pPr>
          </w:p>
        </w:tc>
      </w:tr>
    </w:tbl>
    <w:p w14:paraId="43596005" w14:textId="77777777" w:rsidR="001B24F3" w:rsidRPr="001B24F3" w:rsidRDefault="001B24F3" w:rsidP="00C12D3A">
      <w:pPr>
        <w:pStyle w:val="NoSpacing"/>
        <w:rPr>
          <w:rFonts w:ascii="Arial" w:hAnsi="Arial" w:cs="Arial"/>
        </w:rPr>
      </w:pPr>
    </w:p>
    <w:p w14:paraId="56C57C0D" w14:textId="77777777" w:rsidR="001B24F3" w:rsidRPr="001B24F3" w:rsidRDefault="001B24F3" w:rsidP="00C12D3A">
      <w:pPr>
        <w:pStyle w:val="NoSpacing"/>
        <w:numPr>
          <w:ilvl w:val="0"/>
          <w:numId w:val="18"/>
        </w:numPr>
        <w:ind w:left="720"/>
        <w:rPr>
          <w:rFonts w:ascii="Arial" w:hAnsi="Arial" w:cs="Arial"/>
        </w:rPr>
      </w:pPr>
      <w:r w:rsidRPr="001B24F3">
        <w:rPr>
          <w:rFonts w:ascii="Arial" w:hAnsi="Arial" w:cs="Arial"/>
        </w:rPr>
        <w:t>Confirm</w:t>
      </w:r>
      <w:r w:rsidRPr="001B24F3">
        <w:rPr>
          <w:rFonts w:ascii="Arial" w:hAnsi="Arial" w:cs="Arial"/>
          <w:b/>
          <w:bCs/>
        </w:rPr>
        <w:t xml:space="preserve"> </w:t>
      </w:r>
      <w:r w:rsidRPr="001B24F3">
        <w:rPr>
          <w:rFonts w:ascii="Arial" w:hAnsi="Arial" w:cs="Arial"/>
        </w:rPr>
        <w:t xml:space="preserve">the ED and 24-hour observation AU days present are greater than the MDRO/CDI encounters for the same outpatient locations and </w:t>
      </w:r>
      <w:proofErr w:type="gramStart"/>
      <w:r w:rsidRPr="001B24F3">
        <w:rPr>
          <w:rFonts w:ascii="Arial" w:hAnsi="Arial" w:cs="Arial"/>
        </w:rPr>
        <w:t>time period</w:t>
      </w:r>
      <w:proofErr w:type="gramEnd"/>
      <w:r w:rsidRPr="001B24F3">
        <w:rPr>
          <w:rFonts w:ascii="Arial" w:hAnsi="Arial" w:cs="Arial"/>
        </w:rPr>
        <w:t>.</w:t>
      </w:r>
    </w:p>
    <w:p w14:paraId="2948B03D" w14:textId="77777777" w:rsidR="00CC4118" w:rsidRPr="00B832D7" w:rsidRDefault="00CC4118" w:rsidP="00C12D3A">
      <w:pPr>
        <w:pStyle w:val="NoSpacing"/>
        <w:rPr>
          <w:rFonts w:ascii="Arial" w:hAnsi="Arial" w:cs="Arial"/>
          <w:i/>
        </w:rPr>
      </w:pPr>
    </w:p>
    <w:p w14:paraId="028A3268" w14:textId="7725D660" w:rsidR="00CC4118" w:rsidRDefault="00CC4118" w:rsidP="00C12D3A">
      <w:pPr>
        <w:pStyle w:val="NoSpacing"/>
        <w:jc w:val="right"/>
        <w:rPr>
          <w:rFonts w:ascii="Arial" w:hAnsi="Arial" w:cs="Arial"/>
          <w:iCs/>
        </w:rPr>
      </w:pPr>
      <w:r w:rsidRPr="00CC4118">
        <w:rPr>
          <w:rFonts w:ascii="Arial" w:hAnsi="Arial" w:cs="Arial"/>
          <w:i/>
        </w:rPr>
        <w:t xml:space="preserve">End Section </w:t>
      </w:r>
      <w:r w:rsidR="007D114F">
        <w:rPr>
          <w:rFonts w:ascii="Arial" w:hAnsi="Arial" w:cs="Arial"/>
          <w:i/>
        </w:rPr>
        <w:t>C</w:t>
      </w:r>
      <w:r w:rsidRPr="00CC4118">
        <w:rPr>
          <w:rFonts w:ascii="Arial" w:hAnsi="Arial" w:cs="Arial"/>
          <w:i/>
        </w:rPr>
        <w:t>: Validation of Data Aggregations and Calculations</w:t>
      </w:r>
    </w:p>
    <w:p w14:paraId="18FCD078" w14:textId="77777777" w:rsidR="00CC4118" w:rsidRDefault="00CC4118" w:rsidP="00C12D3A">
      <w:pPr>
        <w:pStyle w:val="NoSpacing"/>
        <w:jc w:val="right"/>
        <w:rPr>
          <w:rFonts w:ascii="Arial" w:hAnsi="Arial" w:cs="Arial"/>
          <w:iCs/>
        </w:rPr>
      </w:pPr>
    </w:p>
    <w:p w14:paraId="78ED93CF" w14:textId="072F8572" w:rsidR="00CC4118" w:rsidRPr="00CC4118" w:rsidRDefault="00CC4118" w:rsidP="00C12D3A">
      <w:pPr>
        <w:pStyle w:val="NoSpacing"/>
        <w:rPr>
          <w:rFonts w:ascii="Arial" w:hAnsi="Arial" w:cs="Arial"/>
          <w:iCs/>
        </w:rPr>
      </w:pPr>
    </w:p>
    <w:p w14:paraId="057A2E52" w14:textId="55732E86" w:rsidR="00CC4118" w:rsidRDefault="00CC4118" w:rsidP="00C12D3A">
      <w:pPr>
        <w:spacing w:before="0" w:after="0" w:line="240" w:lineRule="auto"/>
        <w:rPr>
          <w:rFonts w:cs="Arial"/>
          <w:szCs w:val="22"/>
        </w:rPr>
      </w:pPr>
      <w:r>
        <w:rPr>
          <w:rFonts w:cs="Arial"/>
          <w:szCs w:val="22"/>
        </w:rPr>
        <w:br w:type="page"/>
      </w:r>
    </w:p>
    <w:p w14:paraId="05C5606B" w14:textId="151248DB" w:rsidR="00CC4118" w:rsidRPr="008A2B69" w:rsidRDefault="00CC4118" w:rsidP="009211B6">
      <w:pPr>
        <w:pStyle w:val="Heading2"/>
        <w:spacing w:after="0"/>
      </w:pPr>
      <w:bookmarkStart w:id="14" w:name="_Appendix:_Links_to"/>
      <w:bookmarkEnd w:id="14"/>
      <w:r w:rsidRPr="008A2B69">
        <w:lastRenderedPageBreak/>
        <w:t>Appendix: Links to Referenced Document</w:t>
      </w:r>
      <w:r w:rsidR="006E63E6">
        <w:t>s</w:t>
      </w:r>
    </w:p>
    <w:p w14:paraId="447F2C38" w14:textId="77777777" w:rsidR="00763EB6" w:rsidRDefault="00763EB6" w:rsidP="00C12D3A">
      <w:pPr>
        <w:pStyle w:val="NoSpacing"/>
        <w:rPr>
          <w:rFonts w:ascii="Arial" w:hAnsi="Arial" w:cs="Arial"/>
        </w:rPr>
      </w:pPr>
    </w:p>
    <w:p w14:paraId="352B7187" w14:textId="4A915538" w:rsidR="00CC4118" w:rsidRDefault="00CC4118" w:rsidP="00C12D3A">
      <w:pPr>
        <w:pStyle w:val="NoSpacing"/>
        <w:rPr>
          <w:rFonts w:ascii="Arial" w:hAnsi="Arial" w:cs="Arial"/>
        </w:rPr>
      </w:pPr>
      <w:r w:rsidRPr="00CC4118">
        <w:rPr>
          <w:rFonts w:ascii="Arial" w:hAnsi="Arial" w:cs="Arial"/>
        </w:rPr>
        <w:t>Complete web addresses for references hyperlinked in this document in the order of appearance:</w:t>
      </w:r>
    </w:p>
    <w:p w14:paraId="45324F12" w14:textId="77777777" w:rsidR="00843AED" w:rsidRPr="00CC4118" w:rsidRDefault="00843AED" w:rsidP="00C12D3A">
      <w:pPr>
        <w:pStyle w:val="NoSpacing"/>
        <w:rPr>
          <w:rFonts w:ascii="Arial" w:hAnsi="Arial" w:cs="Arial"/>
        </w:rPr>
      </w:pPr>
    </w:p>
    <w:p w14:paraId="5EAF1FB5" w14:textId="413A49F3" w:rsidR="00CC4118" w:rsidRDefault="00CC4118" w:rsidP="00C12D3A">
      <w:pPr>
        <w:pStyle w:val="NoSpacing"/>
        <w:numPr>
          <w:ilvl w:val="0"/>
          <w:numId w:val="24"/>
        </w:numPr>
        <w:rPr>
          <w:rFonts w:ascii="Arial" w:hAnsi="Arial" w:cs="Arial"/>
        </w:rPr>
      </w:pPr>
      <w:hyperlink r:id="rId32" w:history="1">
        <w:r w:rsidRPr="006E74DF">
          <w:rPr>
            <w:rStyle w:val="Hyperlink"/>
            <w:rFonts w:ascii="Arial" w:hAnsi="Arial" w:cs="Arial"/>
            <w:color w:val="2A6CA8" w:themeColor="background2" w:themeShade="80"/>
          </w:rPr>
          <w:t>AUR Module Protocol</w:t>
        </w:r>
      </w:hyperlink>
    </w:p>
    <w:p w14:paraId="02E6D301" w14:textId="5D0C7A15" w:rsidR="007E299F" w:rsidRPr="007E299F" w:rsidRDefault="00D02756" w:rsidP="00C12D3A">
      <w:pPr>
        <w:pStyle w:val="NoSpacing"/>
        <w:numPr>
          <w:ilvl w:val="0"/>
          <w:numId w:val="24"/>
        </w:numPr>
        <w:rPr>
          <w:rFonts w:ascii="Arial" w:hAnsi="Arial" w:cs="Arial"/>
        </w:rPr>
      </w:pPr>
      <w:hyperlink r:id="rId33" w:history="1">
        <w:r w:rsidRPr="006E74DF">
          <w:rPr>
            <w:rStyle w:val="Hyperlink"/>
            <w:rFonts w:ascii="Arial" w:hAnsi="Arial" w:cs="Arial"/>
            <w:color w:val="2A6CA8" w:themeColor="background2" w:themeShade="80"/>
          </w:rPr>
          <w:t>AU Synthetic Data Set Validation</w:t>
        </w:r>
      </w:hyperlink>
    </w:p>
    <w:p w14:paraId="7F605085" w14:textId="71E16392" w:rsidR="00CC4118" w:rsidRPr="007E299F" w:rsidRDefault="00CC4118" w:rsidP="00C12D3A">
      <w:pPr>
        <w:pStyle w:val="NoSpacing"/>
        <w:numPr>
          <w:ilvl w:val="0"/>
          <w:numId w:val="24"/>
        </w:numPr>
        <w:rPr>
          <w:rFonts w:ascii="Arial" w:hAnsi="Arial" w:cs="Arial"/>
        </w:rPr>
      </w:pPr>
      <w:hyperlink r:id="rId34" w:history="1">
        <w:r w:rsidRPr="006E74DF">
          <w:rPr>
            <w:rStyle w:val="Hyperlink"/>
            <w:rFonts w:ascii="Arial" w:hAnsi="Arial" w:cs="Arial"/>
            <w:color w:val="2A6CA8" w:themeColor="background2" w:themeShade="80"/>
          </w:rPr>
          <w:t>Annual AU Option Validation Protocol</w:t>
        </w:r>
      </w:hyperlink>
    </w:p>
    <w:p w14:paraId="2CFE027E" w14:textId="0D249E0E" w:rsidR="00CC4118" w:rsidRPr="00B51807" w:rsidRDefault="00CC4118" w:rsidP="00C12D3A">
      <w:pPr>
        <w:pStyle w:val="NoSpacing"/>
        <w:numPr>
          <w:ilvl w:val="0"/>
          <w:numId w:val="24"/>
        </w:numPr>
        <w:rPr>
          <w:rFonts w:ascii="Arial" w:hAnsi="Arial" w:cs="Arial"/>
        </w:rPr>
      </w:pPr>
      <w:hyperlink r:id="rId35" w:history="1">
        <w:r w:rsidRPr="006E74DF">
          <w:rPr>
            <w:rStyle w:val="Hyperlink"/>
            <w:rFonts w:ascii="Arial" w:hAnsi="Arial" w:cs="Arial"/>
            <w:color w:val="2A6CA8" w:themeColor="background2" w:themeShade="80"/>
          </w:rPr>
          <w:t>AR Option Data Validation Protocol</w:t>
        </w:r>
      </w:hyperlink>
    </w:p>
    <w:p w14:paraId="5135C7FC" w14:textId="77777777" w:rsidR="00B51807" w:rsidRPr="007E299F" w:rsidRDefault="00B51807" w:rsidP="00B51807">
      <w:pPr>
        <w:pStyle w:val="NoSpacing"/>
        <w:numPr>
          <w:ilvl w:val="0"/>
          <w:numId w:val="24"/>
        </w:numPr>
        <w:rPr>
          <w:rStyle w:val="Hyperlink"/>
          <w:rFonts w:ascii="Arial" w:hAnsi="Arial" w:cs="Arial"/>
        </w:rPr>
      </w:pPr>
      <w:hyperlink r:id="rId36" w:history="1">
        <w:r w:rsidRPr="006E74DF">
          <w:rPr>
            <w:rStyle w:val="Hyperlink"/>
            <w:rFonts w:ascii="Arial" w:hAnsi="Arial" w:cs="Arial"/>
            <w:color w:val="2A6CA8" w:themeColor="background2" w:themeShade="80"/>
          </w:rPr>
          <w:t>Generating Data Sets Guidance</w:t>
        </w:r>
      </w:hyperlink>
    </w:p>
    <w:p w14:paraId="22D249F4" w14:textId="77777777" w:rsidR="00B51807" w:rsidRPr="007E299F" w:rsidRDefault="00B51807" w:rsidP="00B51807">
      <w:pPr>
        <w:pStyle w:val="NoSpacing"/>
        <w:numPr>
          <w:ilvl w:val="0"/>
          <w:numId w:val="24"/>
        </w:numPr>
        <w:rPr>
          <w:rStyle w:val="Hyperlink"/>
          <w:rFonts w:ascii="Arial" w:hAnsi="Arial" w:cs="Arial"/>
        </w:rPr>
      </w:pPr>
      <w:hyperlink r:id="rId37" w:history="1">
        <w:r w:rsidRPr="006E74DF">
          <w:rPr>
            <w:rStyle w:val="Hyperlink"/>
            <w:rFonts w:ascii="Arial" w:hAnsi="Arial" w:cs="Arial"/>
            <w:color w:val="2A6CA8" w:themeColor="background2" w:themeShade="80"/>
          </w:rPr>
          <w:t>How to Modify a Report</w:t>
        </w:r>
      </w:hyperlink>
    </w:p>
    <w:p w14:paraId="7FC393E8" w14:textId="77777777" w:rsidR="00B51807" w:rsidRPr="00843AED" w:rsidRDefault="00B51807" w:rsidP="00B51807">
      <w:pPr>
        <w:pStyle w:val="NoSpacing"/>
        <w:numPr>
          <w:ilvl w:val="0"/>
          <w:numId w:val="24"/>
        </w:numPr>
        <w:rPr>
          <w:rFonts w:ascii="Arial" w:hAnsi="Arial" w:cs="Arial"/>
        </w:rPr>
      </w:pPr>
      <w:hyperlink r:id="rId38" w:history="1">
        <w:r w:rsidRPr="006E74DF">
          <w:rPr>
            <w:rStyle w:val="Hyperlink"/>
            <w:rFonts w:ascii="Arial" w:hAnsi="Arial" w:cs="Arial"/>
            <w:color w:val="2A6CA8" w:themeColor="background2" w:themeShade="80"/>
          </w:rPr>
          <w:t>AU Data Quality Line List</w:t>
        </w:r>
      </w:hyperlink>
    </w:p>
    <w:p w14:paraId="00978E2B" w14:textId="619D2E80" w:rsidR="00B51807" w:rsidRPr="00B51807" w:rsidRDefault="00B51807" w:rsidP="00B51807">
      <w:pPr>
        <w:pStyle w:val="NoSpacing"/>
        <w:numPr>
          <w:ilvl w:val="0"/>
          <w:numId w:val="24"/>
        </w:numPr>
        <w:rPr>
          <w:rFonts w:ascii="Arial" w:hAnsi="Arial" w:cs="Arial"/>
          <w:color w:val="3382B7" w:themeColor="hyperlink"/>
          <w:u w:val="single"/>
        </w:rPr>
      </w:pPr>
      <w:hyperlink r:id="rId39" w:history="1">
        <w:r w:rsidRPr="006E74DF">
          <w:rPr>
            <w:rStyle w:val="Hyperlink"/>
            <w:rFonts w:ascii="Arial" w:hAnsi="Arial" w:cs="Arial"/>
            <w:color w:val="2A6CA8" w:themeColor="background2" w:themeShade="80"/>
          </w:rPr>
          <w:t>AU Option Line List</w:t>
        </w:r>
      </w:hyperlink>
    </w:p>
    <w:p w14:paraId="27B25F23" w14:textId="51392114" w:rsidR="00CC4118" w:rsidRDefault="00CC4118" w:rsidP="00C12D3A">
      <w:pPr>
        <w:pStyle w:val="NoSpacing"/>
        <w:numPr>
          <w:ilvl w:val="0"/>
          <w:numId w:val="24"/>
        </w:numPr>
        <w:rPr>
          <w:rFonts w:ascii="Arial" w:hAnsi="Arial" w:cs="Arial"/>
        </w:rPr>
      </w:pPr>
      <w:hyperlink r:id="rId40" w:history="1">
        <w:r w:rsidRPr="006E74DF">
          <w:rPr>
            <w:rStyle w:val="Hyperlink"/>
            <w:rFonts w:ascii="Arial" w:hAnsi="Arial" w:cs="Arial"/>
            <w:color w:val="2A6CA8" w:themeColor="background2" w:themeShade="80"/>
          </w:rPr>
          <w:t>NHSN Locations Chapter</w:t>
        </w:r>
      </w:hyperlink>
    </w:p>
    <w:p w14:paraId="6CB896B9" w14:textId="276D4DFC" w:rsidR="00D02756" w:rsidRDefault="00D02756" w:rsidP="00C12D3A">
      <w:pPr>
        <w:pStyle w:val="NoSpacing"/>
        <w:numPr>
          <w:ilvl w:val="0"/>
          <w:numId w:val="24"/>
        </w:numPr>
        <w:rPr>
          <w:rFonts w:ascii="Arial" w:hAnsi="Arial" w:cs="Arial"/>
        </w:rPr>
      </w:pPr>
      <w:hyperlink r:id="rId41" w:history="1">
        <w:r w:rsidRPr="006E74DF">
          <w:rPr>
            <w:rStyle w:val="Hyperlink"/>
            <w:rFonts w:ascii="Arial" w:hAnsi="Arial" w:cs="Arial"/>
            <w:color w:val="2A6CA8" w:themeColor="background2" w:themeShade="80"/>
          </w:rPr>
          <w:t>Inactivate a CDC Location</w:t>
        </w:r>
      </w:hyperlink>
    </w:p>
    <w:p w14:paraId="5BFCF6EB" w14:textId="660DC215" w:rsidR="00D02756" w:rsidRDefault="00D02756" w:rsidP="00C12D3A">
      <w:pPr>
        <w:pStyle w:val="NoSpacing"/>
        <w:numPr>
          <w:ilvl w:val="0"/>
          <w:numId w:val="24"/>
        </w:numPr>
        <w:rPr>
          <w:rFonts w:ascii="Arial" w:hAnsi="Arial" w:cs="Arial"/>
        </w:rPr>
      </w:pPr>
      <w:hyperlink r:id="rId42" w:history="1">
        <w:r w:rsidRPr="006E74DF">
          <w:rPr>
            <w:rStyle w:val="Hyperlink"/>
            <w:rFonts w:ascii="Arial" w:hAnsi="Arial" w:cs="Arial"/>
            <w:color w:val="2A6CA8" w:themeColor="background2" w:themeShade="80"/>
          </w:rPr>
          <w:t>AR Option Denominator Line List</w:t>
        </w:r>
      </w:hyperlink>
    </w:p>
    <w:sectPr w:rsidR="00D02756" w:rsidSect="00244C63">
      <w:headerReference w:type="even" r:id="rId43"/>
      <w:headerReference w:type="default" r:id="rId44"/>
      <w:footerReference w:type="default" r:id="rId45"/>
      <w:headerReference w:type="first" r:id="rId46"/>
      <w:type w:val="continuous"/>
      <w:pgSz w:w="12240" w:h="15840"/>
      <w:pgMar w:top="810" w:right="1080" w:bottom="1440" w:left="1080" w:header="576" w:footer="432"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0560" w14:textId="77777777" w:rsidR="00775595" w:rsidRDefault="00775595" w:rsidP="001B4F4B">
      <w:pPr>
        <w:spacing w:after="0" w:line="240" w:lineRule="auto"/>
      </w:pPr>
      <w:r>
        <w:separator/>
      </w:r>
    </w:p>
  </w:endnote>
  <w:endnote w:type="continuationSeparator" w:id="0">
    <w:p w14:paraId="0EEFFF52" w14:textId="77777777" w:rsidR="00775595" w:rsidRDefault="00775595" w:rsidP="001B4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86D0C2A8-62B7-4E31-96C6-F0E3D1828375}"/>
  </w:font>
  <w:font w:name="Times New Roman">
    <w:panose1 w:val="02020603050405020304"/>
    <w:charset w:val="00"/>
    <w:family w:val="roman"/>
    <w:pitch w:val="variable"/>
    <w:sig w:usb0="E0002EFF" w:usb1="C000785B" w:usb2="00000009" w:usb3="00000000" w:csb0="000001FF" w:csb1="00000000"/>
    <w:embedRegular r:id="rId2" w:fontKey="{B942688F-7796-4493-8BB0-EA4A9616F25D}"/>
    <w:embedBold r:id="rId3" w:fontKey="{25BF3C15-9E04-4D27-BB25-104496B55E53}"/>
    <w:embedItalic r:id="rId4" w:fontKey="{19EC5D6B-1A49-4D5E-BE84-47A0158BDD8F}"/>
    <w:embedBoldItalic r:id="rId5" w:fontKey="{CEE3044C-F864-43BC-8931-D6432FAC4E90}"/>
  </w:font>
  <w:font w:name="Courier New">
    <w:panose1 w:val="02070309020205020404"/>
    <w:charset w:val="00"/>
    <w:family w:val="modern"/>
    <w:pitch w:val="fixed"/>
    <w:sig w:usb0="E0002EFF" w:usb1="C0007843" w:usb2="00000009" w:usb3="00000000" w:csb0="000001FF" w:csb1="00000000"/>
    <w:embedRegular r:id="rId6" w:fontKey="{4B7DC211-6D3F-4C08-81BD-5117F6F3ABBF}"/>
  </w:font>
  <w:font w:name="Wingdings">
    <w:panose1 w:val="05000000000000000000"/>
    <w:charset w:val="02"/>
    <w:family w:val="auto"/>
    <w:pitch w:val="variable"/>
    <w:sig w:usb0="00000000" w:usb1="10000000" w:usb2="00000000" w:usb3="00000000" w:csb0="80000000" w:csb1="00000000"/>
    <w:embedRegular r:id="rId7" w:fontKey="{6DCCEA51-729F-47B0-B3AD-FF08030C954C}"/>
  </w:font>
  <w:font w:name="Arial">
    <w:panose1 w:val="020B0604020202020204"/>
    <w:charset w:val="00"/>
    <w:family w:val="swiss"/>
    <w:pitch w:val="variable"/>
    <w:sig w:usb0="E0002EFF" w:usb1="C000785B" w:usb2="00000009" w:usb3="00000000" w:csb0="000001FF" w:csb1="00000000"/>
    <w:embedRegular r:id="rId8" w:fontKey="{88187AF6-0793-4D57-916D-BD3C4FC18053}"/>
    <w:embedBold r:id="rId9" w:fontKey="{E94BCE62-5E36-46F5-9C9F-E7E15747564E}"/>
    <w:embedItalic r:id="rId10" w:fontKey="{5819F06A-25B8-4390-9459-D8AEB9213B3B}"/>
    <w:embedBoldItalic r:id="rId11" w:fontKey="{B49F7218-DDBC-46BE-A181-C2E15D2C226F}"/>
  </w:font>
  <w:font w:name="Wingdings 2">
    <w:panose1 w:val="05020102010507070707"/>
    <w:charset w:val="02"/>
    <w:family w:val="roman"/>
    <w:pitch w:val="variable"/>
    <w:sig w:usb0="00000000" w:usb1="10000000" w:usb2="00000000" w:usb3="00000000" w:csb0="80000000" w:csb1="00000000"/>
    <w:embedRegular r:id="rId12" w:fontKey="{1D194EDA-98EC-4E2E-8739-0ED5C3ECA615}"/>
  </w:font>
  <w:font w:name="Calibri">
    <w:panose1 w:val="020F0502020204030204"/>
    <w:charset w:val="00"/>
    <w:family w:val="swiss"/>
    <w:pitch w:val="variable"/>
    <w:sig w:usb0="E4002EFF" w:usb1="C200247B" w:usb2="00000009" w:usb3="00000000" w:csb0="000001FF" w:csb1="00000000"/>
    <w:embedRegular r:id="rId13" w:fontKey="{E246422B-8837-4110-A2FE-422003CE0A65}"/>
    <w:embedBold r:id="rId14" w:fontKey="{6D0E8F73-A40F-4F9C-A6C6-827F8ACA58F6}"/>
    <w:embedItalic r:id="rId15" w:fontKey="{B6907EB2-E200-407B-9D26-D4D638777BC4}"/>
  </w:font>
  <w:font w:name="Aptos">
    <w:charset w:val="00"/>
    <w:family w:val="swiss"/>
    <w:pitch w:val="variable"/>
    <w:sig w:usb0="20000287" w:usb1="00000003" w:usb2="00000000" w:usb3="00000000" w:csb0="0000019F" w:csb1="00000000"/>
    <w:embedRegular r:id="rId16" w:fontKey="{A494E307-4A17-4997-8F8B-77E9AFBFCB03}"/>
    <w:embedBold r:id="rId17" w:fontKey="{E88A8E1B-0EB5-4BF0-A699-88A702C3BDB1}"/>
    <w:embedItalic r:id="rId18" w:fontKey="{C012D8C4-120D-4990-B4ED-4806092F54C0}"/>
    <w:embedBoldItalic r:id="rId19" w:fontKey="{9DF92EB7-4731-4EFA-9CAE-E57682D4A216}"/>
  </w:font>
  <w:font w:name="Aptos Display">
    <w:charset w:val="00"/>
    <w:family w:val="swiss"/>
    <w:pitch w:val="variable"/>
    <w:sig w:usb0="20000287" w:usb1="00000003" w:usb2="00000000" w:usb3="00000000" w:csb0="0000019F" w:csb1="00000000"/>
    <w:embedRegular r:id="rId20" w:fontKey="{82C8F22B-A302-445F-83B9-7AEBDF36F7E1}"/>
  </w:font>
  <w:font w:name="Segoe UI">
    <w:panose1 w:val="020B0502040204020203"/>
    <w:charset w:val="00"/>
    <w:family w:val="swiss"/>
    <w:pitch w:val="variable"/>
    <w:sig w:usb0="E4002EFF" w:usb1="C000E47F" w:usb2="00000009" w:usb3="00000000" w:csb0="000001FF" w:csb1="00000000"/>
    <w:embedRegular r:id="rId21" w:fontKey="{6407211A-F8DD-4BD5-98BB-EB0104669FE0}"/>
  </w:font>
  <w:font w:name="Segoe UI Symbol">
    <w:panose1 w:val="020B0502040204020203"/>
    <w:charset w:val="00"/>
    <w:family w:val="swiss"/>
    <w:pitch w:val="variable"/>
    <w:sig w:usb0="800001E3" w:usb1="1200FFEF" w:usb2="00040000" w:usb3="00000000" w:csb0="00000001" w:csb1="00000000"/>
    <w:embedRegular r:id="rId22" w:fontKey="{91FAF235-DE77-4BF2-BF40-2ACAF6F8A375}"/>
  </w:font>
  <w:font w:name="Roboto">
    <w:panose1 w:val="02000000000000000000"/>
    <w:charset w:val="00"/>
    <w:family w:val="auto"/>
    <w:pitch w:val="variable"/>
    <w:sig w:usb0="E0000AFF" w:usb1="5000217F" w:usb2="00000021" w:usb3="00000000" w:csb0="0000019F" w:csb1="00000000"/>
    <w:embedRegular r:id="rId23" w:fontKey="{996E2A9D-04DB-4527-BE4A-0FFBF7EE03B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Italic r:id="rId24" w:fontKey="{87DB4736-07F8-494C-8824-AA3F15FFD6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370377"/>
      <w:docPartObj>
        <w:docPartGallery w:val="Page Numbers (Bottom of Page)"/>
        <w:docPartUnique/>
      </w:docPartObj>
    </w:sdtPr>
    <w:sdtEndPr>
      <w:rPr>
        <w:noProof/>
      </w:rPr>
    </w:sdtEndPr>
    <w:sdtContent>
      <w:p w14:paraId="2DB66037" w14:textId="72344D68" w:rsidR="008B1AF6" w:rsidRDefault="008B1A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845313" w14:textId="75FF509D" w:rsidR="00C0331E" w:rsidRPr="00D60D59" w:rsidRDefault="00C0331E" w:rsidP="004D1A5C">
    <w:pPr>
      <w:pStyle w:val="Footer"/>
      <w:tabs>
        <w:tab w:val="clear" w:pos="4680"/>
        <w:tab w:val="clear" w:pos="9360"/>
      </w:tabs>
      <w:jc w:val="right"/>
      <w:rPr>
        <w:rFonts w:ascii="Roboto" w:hAnsi="Roboto"/>
        <w:color w:val="au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027885"/>
      <w:docPartObj>
        <w:docPartGallery w:val="Page Numbers (Bottom of Page)"/>
        <w:docPartUnique/>
      </w:docPartObj>
    </w:sdtPr>
    <w:sdtEndPr>
      <w:rPr>
        <w:noProof/>
      </w:rPr>
    </w:sdtEndPr>
    <w:sdtContent>
      <w:p w14:paraId="7C5B1356" w14:textId="00461765" w:rsidR="001915A9" w:rsidRDefault="001915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CEAB59" w14:textId="32442C0F" w:rsidR="00AA5FEE" w:rsidRPr="007E299F" w:rsidRDefault="00AA5FEE" w:rsidP="007E299F">
    <w:pPr>
      <w:pStyle w:val="Footer"/>
      <w:tabs>
        <w:tab w:val="clear" w:pos="4680"/>
        <w:tab w:val="clear" w:pos="9360"/>
      </w:tabs>
      <w:jc w:val="right"/>
      <w:rPr>
        <w:rFonts w:ascii="Roboto" w:hAnsi="Roboto"/>
        <w:color w:val="au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75A22" w14:textId="77777777" w:rsidR="00775595" w:rsidRDefault="00775595" w:rsidP="001B4F4B">
      <w:pPr>
        <w:spacing w:after="0" w:line="240" w:lineRule="auto"/>
      </w:pPr>
      <w:r>
        <w:separator/>
      </w:r>
    </w:p>
  </w:footnote>
  <w:footnote w:type="continuationSeparator" w:id="0">
    <w:p w14:paraId="4554435F" w14:textId="77777777" w:rsidR="00775595" w:rsidRDefault="00775595" w:rsidP="001B4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4B00F" w14:textId="43639BDB" w:rsidR="00C7525A" w:rsidRDefault="00C75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436FB" w14:textId="5F5EE9FD" w:rsidR="00AA5FEE" w:rsidRDefault="00AA5F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DA217" w14:textId="36039B25" w:rsidR="00C7525A" w:rsidRDefault="00C75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1F653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F810A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C671DE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52A38B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0AF198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271176"/>
    <w:multiLevelType w:val="hybridMultilevel"/>
    <w:tmpl w:val="2BE09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7E057F"/>
    <w:multiLevelType w:val="multilevel"/>
    <w:tmpl w:val="C2ACE1C2"/>
    <w:styleLink w:val="SecondLevelbulletCDC"/>
    <w:lvl w:ilvl="0">
      <w:start w:val="1"/>
      <w:numFmt w:val="bullet"/>
      <w:pStyle w:val="Bullet2ndlevelCDC"/>
      <w:lvlText w:val="»"/>
      <w:lvlJc w:val="left"/>
      <w:pPr>
        <w:ind w:left="360" w:hanging="360"/>
      </w:pPr>
      <w:rPr>
        <w:rFonts w:ascii="Arial" w:hAnsi="Arial" w:hint="default"/>
        <w:color w:val="0081A1" w:themeColor="accent2"/>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08683CE5"/>
    <w:multiLevelType w:val="hybridMultilevel"/>
    <w:tmpl w:val="0B36649E"/>
    <w:lvl w:ilvl="0" w:tplc="1CE84E3A">
      <w:start w:val="1"/>
      <w:numFmt w:val="decimal"/>
      <w:pStyle w:val="NumbersCDC"/>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C42933"/>
    <w:multiLevelType w:val="hybridMultilevel"/>
    <w:tmpl w:val="76AC2054"/>
    <w:lvl w:ilvl="0" w:tplc="9F5E7992">
      <w:start w:val="1"/>
      <w:numFmt w:val="decimal"/>
      <w:lvlText w:val="%1."/>
      <w:lvlJc w:val="left"/>
      <w:pPr>
        <w:ind w:left="720" w:hanging="360"/>
      </w:pPr>
      <w:rPr>
        <w:rFonts w:hint="default"/>
        <w:color w:val="0081A1" w:themeColor="accent2"/>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ACC6FE1"/>
    <w:multiLevelType w:val="hybridMultilevel"/>
    <w:tmpl w:val="014AB2DC"/>
    <w:lvl w:ilvl="0" w:tplc="406006E6">
      <w:start w:val="1"/>
      <w:numFmt w:val="decimal"/>
      <w:lvlText w:val="%1."/>
      <w:lvlJc w:val="left"/>
      <w:pPr>
        <w:ind w:left="720" w:hanging="360"/>
      </w:pPr>
      <w:rPr>
        <w:rFonts w:hint="default"/>
        <w:b/>
        <w:color w:val="47264F" w:themeColor="accent5"/>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8C13BF"/>
    <w:multiLevelType w:val="hybridMultilevel"/>
    <w:tmpl w:val="8782F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E644014"/>
    <w:multiLevelType w:val="hybridMultilevel"/>
    <w:tmpl w:val="AD8EA6BA"/>
    <w:lvl w:ilvl="0" w:tplc="5EC65F52">
      <w:start w:val="1"/>
      <w:numFmt w:val="lowerLetter"/>
      <w:lvlText w:val="%1."/>
      <w:lvlJc w:val="left"/>
      <w:pPr>
        <w:ind w:left="1440" w:hanging="360"/>
      </w:pPr>
      <w:rPr>
        <w:rFonts w:hint="default"/>
        <w:color w:val="0057B7" w:themeColor="accent1"/>
        <w:u w:color="FFFFFF"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35562AF"/>
    <w:multiLevelType w:val="hybridMultilevel"/>
    <w:tmpl w:val="6150B61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AB79AB"/>
    <w:multiLevelType w:val="hybridMultilevel"/>
    <w:tmpl w:val="C9488C64"/>
    <w:lvl w:ilvl="0" w:tplc="D282688E">
      <w:start w:val="1"/>
      <w:numFmt w:val="bullet"/>
      <w:lvlText w:val=""/>
      <w:lvlJc w:val="left"/>
      <w:pPr>
        <w:ind w:left="720" w:hanging="360"/>
      </w:pPr>
      <w:rPr>
        <w:rFonts w:ascii="Wingdings 2" w:hAnsi="Wingdings 2" w:hint="default"/>
        <w:color w:val="0081A1" w:themeColor="accent2"/>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C145E3"/>
    <w:multiLevelType w:val="hybridMultilevel"/>
    <w:tmpl w:val="C742E80C"/>
    <w:lvl w:ilvl="0" w:tplc="99FA8F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216720"/>
    <w:multiLevelType w:val="hybridMultilevel"/>
    <w:tmpl w:val="9654A402"/>
    <w:lvl w:ilvl="0" w:tplc="54B4E402">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5E6C08"/>
    <w:multiLevelType w:val="hybridMultilevel"/>
    <w:tmpl w:val="FB020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0D0543"/>
    <w:multiLevelType w:val="hybridMultilevel"/>
    <w:tmpl w:val="912473D0"/>
    <w:lvl w:ilvl="0" w:tplc="40488DB6">
      <w:start w:val="1"/>
      <w:numFmt w:val="lowerLetter"/>
      <w:lvlText w:val="%1."/>
      <w:lvlJc w:val="left"/>
      <w:pPr>
        <w:ind w:left="1080" w:hanging="360"/>
      </w:pPr>
      <w:rPr>
        <w:rFonts w:hint="default"/>
        <w:b w:val="0"/>
        <w:bCs/>
        <w:sz w:val="22"/>
        <w:szCs w:val="22"/>
      </w:rPr>
    </w:lvl>
    <w:lvl w:ilvl="1" w:tplc="0409000F">
      <w:start w:val="1"/>
      <w:numFmt w:val="decimal"/>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3645FBE"/>
    <w:multiLevelType w:val="hybridMultilevel"/>
    <w:tmpl w:val="AEB6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C218B0"/>
    <w:multiLevelType w:val="hybridMultilevel"/>
    <w:tmpl w:val="94CE3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325E04"/>
    <w:multiLevelType w:val="hybridMultilevel"/>
    <w:tmpl w:val="6150B61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9B216F4"/>
    <w:multiLevelType w:val="hybridMultilevel"/>
    <w:tmpl w:val="FD58B268"/>
    <w:lvl w:ilvl="0" w:tplc="5EC65F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0D4F43"/>
    <w:multiLevelType w:val="hybridMultilevel"/>
    <w:tmpl w:val="BB900724"/>
    <w:lvl w:ilvl="0" w:tplc="5EC65F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CD21AE"/>
    <w:multiLevelType w:val="hybridMultilevel"/>
    <w:tmpl w:val="0A98B1B0"/>
    <w:lvl w:ilvl="0" w:tplc="F112DD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6806454"/>
    <w:multiLevelType w:val="hybridMultilevel"/>
    <w:tmpl w:val="FBDCD7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853418"/>
    <w:multiLevelType w:val="hybridMultilevel"/>
    <w:tmpl w:val="23F0F8DC"/>
    <w:lvl w:ilvl="0" w:tplc="D282688E">
      <w:start w:val="1"/>
      <w:numFmt w:val="bullet"/>
      <w:lvlText w:val=""/>
      <w:lvlJc w:val="left"/>
      <w:pPr>
        <w:ind w:left="1440" w:hanging="360"/>
      </w:pPr>
      <w:rPr>
        <w:rFonts w:ascii="Wingdings 2" w:hAnsi="Wingdings 2" w:hint="default"/>
        <w:color w:val="0081A1" w:themeColor="accent2"/>
        <w:sz w:val="20"/>
        <w:u w:color="FFFFFF" w:themeColor="background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9B14A76"/>
    <w:multiLevelType w:val="hybridMultilevel"/>
    <w:tmpl w:val="562A20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0E321B"/>
    <w:multiLevelType w:val="hybridMultilevel"/>
    <w:tmpl w:val="027CB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4D179E"/>
    <w:multiLevelType w:val="hybridMultilevel"/>
    <w:tmpl w:val="6150B61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7C588C"/>
    <w:multiLevelType w:val="hybridMultilevel"/>
    <w:tmpl w:val="352A0A62"/>
    <w:lvl w:ilvl="0" w:tplc="D282688E">
      <w:start w:val="1"/>
      <w:numFmt w:val="bullet"/>
      <w:lvlText w:val=""/>
      <w:lvlJc w:val="left"/>
      <w:pPr>
        <w:ind w:left="720" w:hanging="360"/>
      </w:pPr>
      <w:rPr>
        <w:rFonts w:ascii="Wingdings 2" w:hAnsi="Wingdings 2" w:hint="default"/>
        <w:color w:val="0081A1" w:themeColor="accent2"/>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E3937E8"/>
    <w:multiLevelType w:val="hybridMultilevel"/>
    <w:tmpl w:val="53986D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6907F3"/>
    <w:multiLevelType w:val="hybridMultilevel"/>
    <w:tmpl w:val="85C2C5DC"/>
    <w:lvl w:ilvl="0" w:tplc="36C0E3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60D084F"/>
    <w:multiLevelType w:val="hybridMultilevel"/>
    <w:tmpl w:val="C2ACE1C2"/>
    <w:lvl w:ilvl="0" w:tplc="D282688E">
      <w:start w:val="1"/>
      <w:numFmt w:val="bullet"/>
      <w:lvlText w:val=""/>
      <w:lvlJc w:val="left"/>
      <w:pPr>
        <w:ind w:left="720" w:hanging="360"/>
      </w:pPr>
      <w:rPr>
        <w:rFonts w:ascii="Wingdings 2" w:hAnsi="Wingdings 2" w:hint="default"/>
        <w:color w:val="0081A1" w:themeColor="accent2"/>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ED79EC"/>
    <w:multiLevelType w:val="hybridMultilevel"/>
    <w:tmpl w:val="81A28B0A"/>
    <w:lvl w:ilvl="0" w:tplc="5EC65F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A61FB"/>
    <w:multiLevelType w:val="hybridMultilevel"/>
    <w:tmpl w:val="1568B520"/>
    <w:lvl w:ilvl="0" w:tplc="FFFFFFFF">
      <w:start w:val="1"/>
      <w:numFmt w:val="lowerLetter"/>
      <w:lvlText w:val="%1."/>
      <w:lvlJc w:val="left"/>
      <w:pPr>
        <w:ind w:left="1080" w:hanging="360"/>
      </w:pPr>
      <w:rPr>
        <w:rFonts w:hint="default"/>
        <w:b w:val="0"/>
        <w:bCs/>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B1B5B2F"/>
    <w:multiLevelType w:val="hybridMultilevel"/>
    <w:tmpl w:val="FDAEC9D0"/>
    <w:lvl w:ilvl="0" w:tplc="0032CA0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11B2103"/>
    <w:multiLevelType w:val="multilevel"/>
    <w:tmpl w:val="C2ACE1C2"/>
    <w:numStyleLink w:val="SecondLevelbulletCDC"/>
  </w:abstractNum>
  <w:abstractNum w:abstractNumId="37" w15:restartNumberingAfterBreak="0">
    <w:nsid w:val="6B295AEF"/>
    <w:multiLevelType w:val="multilevel"/>
    <w:tmpl w:val="6720B2AA"/>
    <w:lvl w:ilvl="0">
      <w:start w:val="1"/>
      <w:numFmt w:val="bullet"/>
      <w:pStyle w:val="BulletsCDC"/>
      <w:lvlText w:val=""/>
      <w:lvlJc w:val="left"/>
      <w:pPr>
        <w:ind w:left="504" w:hanging="360"/>
      </w:pPr>
      <w:rPr>
        <w:rFonts w:ascii="Wingdings 2" w:hAnsi="Wingdings 2" w:hint="default"/>
        <w:color w:val="0081A1" w:themeColor="accent2"/>
        <w:sz w:val="20"/>
      </w:rPr>
    </w:lvl>
    <w:lvl w:ilvl="1">
      <w:start w:val="1"/>
      <w:numFmt w:val="bullet"/>
      <w:lvlText w:val="o"/>
      <w:lvlJc w:val="left"/>
      <w:pPr>
        <w:ind w:left="1224" w:hanging="360"/>
      </w:pPr>
      <w:rPr>
        <w:rFonts w:ascii="Courier New" w:hAnsi="Courier New" w:cs="Courier New" w:hint="default"/>
      </w:rPr>
    </w:lvl>
    <w:lvl w:ilvl="2">
      <w:start w:val="1"/>
      <w:numFmt w:val="bullet"/>
      <w:lvlText w:val=""/>
      <w:lvlJc w:val="left"/>
      <w:pPr>
        <w:ind w:left="1944" w:hanging="360"/>
      </w:pPr>
      <w:rPr>
        <w:rFonts w:ascii="Wingdings" w:hAnsi="Wingdings" w:hint="default"/>
      </w:rPr>
    </w:lvl>
    <w:lvl w:ilvl="3">
      <w:start w:val="1"/>
      <w:numFmt w:val="bullet"/>
      <w:lvlText w:val=""/>
      <w:lvlJc w:val="left"/>
      <w:pPr>
        <w:ind w:left="2664" w:hanging="360"/>
      </w:pPr>
      <w:rPr>
        <w:rFonts w:ascii="Symbol" w:hAnsi="Symbol" w:hint="default"/>
      </w:rPr>
    </w:lvl>
    <w:lvl w:ilvl="4">
      <w:start w:val="1"/>
      <w:numFmt w:val="bullet"/>
      <w:lvlText w:val="o"/>
      <w:lvlJc w:val="left"/>
      <w:pPr>
        <w:ind w:left="3384" w:hanging="360"/>
      </w:pPr>
      <w:rPr>
        <w:rFonts w:ascii="Courier New" w:hAnsi="Courier New" w:cs="Courier New" w:hint="default"/>
      </w:rPr>
    </w:lvl>
    <w:lvl w:ilvl="5">
      <w:start w:val="1"/>
      <w:numFmt w:val="bullet"/>
      <w:lvlText w:val=""/>
      <w:lvlJc w:val="left"/>
      <w:pPr>
        <w:ind w:left="4104" w:hanging="360"/>
      </w:pPr>
      <w:rPr>
        <w:rFonts w:ascii="Wingdings" w:hAnsi="Wingdings" w:hint="default"/>
      </w:rPr>
    </w:lvl>
    <w:lvl w:ilvl="6">
      <w:start w:val="1"/>
      <w:numFmt w:val="bullet"/>
      <w:lvlText w:val=""/>
      <w:lvlJc w:val="left"/>
      <w:pPr>
        <w:ind w:left="4824" w:hanging="360"/>
      </w:pPr>
      <w:rPr>
        <w:rFonts w:ascii="Symbol" w:hAnsi="Symbol" w:hint="default"/>
      </w:rPr>
    </w:lvl>
    <w:lvl w:ilvl="7">
      <w:start w:val="1"/>
      <w:numFmt w:val="bullet"/>
      <w:lvlText w:val="o"/>
      <w:lvlJc w:val="left"/>
      <w:pPr>
        <w:ind w:left="5544" w:hanging="360"/>
      </w:pPr>
      <w:rPr>
        <w:rFonts w:ascii="Courier New" w:hAnsi="Courier New" w:cs="Courier New" w:hint="default"/>
      </w:rPr>
    </w:lvl>
    <w:lvl w:ilvl="8">
      <w:start w:val="1"/>
      <w:numFmt w:val="bullet"/>
      <w:lvlText w:val=""/>
      <w:lvlJc w:val="left"/>
      <w:pPr>
        <w:ind w:left="6264" w:hanging="360"/>
      </w:pPr>
      <w:rPr>
        <w:rFonts w:ascii="Wingdings" w:hAnsi="Wingdings" w:hint="default"/>
      </w:rPr>
    </w:lvl>
  </w:abstractNum>
  <w:abstractNum w:abstractNumId="38" w15:restartNumberingAfterBreak="0">
    <w:nsid w:val="79B438DD"/>
    <w:multiLevelType w:val="hybridMultilevel"/>
    <w:tmpl w:val="8A6E4668"/>
    <w:lvl w:ilvl="0" w:tplc="5EC65F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222CCC"/>
    <w:multiLevelType w:val="hybridMultilevel"/>
    <w:tmpl w:val="FB103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2715065">
    <w:abstractNumId w:val="11"/>
  </w:num>
  <w:num w:numId="2" w16cid:durableId="849416488">
    <w:abstractNumId w:val="32"/>
  </w:num>
  <w:num w:numId="3" w16cid:durableId="225459506">
    <w:abstractNumId w:val="6"/>
  </w:num>
  <w:num w:numId="4" w16cid:durableId="186023559">
    <w:abstractNumId w:val="36"/>
  </w:num>
  <w:num w:numId="5" w16cid:durableId="951010155">
    <w:abstractNumId w:val="25"/>
  </w:num>
  <w:num w:numId="6" w16cid:durableId="1022821717">
    <w:abstractNumId w:val="8"/>
  </w:num>
  <w:num w:numId="7" w16cid:durableId="1732996079">
    <w:abstractNumId w:val="7"/>
  </w:num>
  <w:num w:numId="8" w16cid:durableId="1063139945">
    <w:abstractNumId w:val="37"/>
  </w:num>
  <w:num w:numId="9" w16cid:durableId="381826160">
    <w:abstractNumId w:val="39"/>
  </w:num>
  <w:num w:numId="10" w16cid:durableId="308822551">
    <w:abstractNumId w:val="9"/>
  </w:num>
  <w:num w:numId="11" w16cid:durableId="861474447">
    <w:abstractNumId w:val="19"/>
  </w:num>
  <w:num w:numId="12" w16cid:durableId="1960796843">
    <w:abstractNumId w:val="35"/>
  </w:num>
  <w:num w:numId="13" w16cid:durableId="1878154425">
    <w:abstractNumId w:val="28"/>
  </w:num>
  <w:num w:numId="14" w16cid:durableId="361365987">
    <w:abstractNumId w:val="17"/>
  </w:num>
  <w:num w:numId="15" w16cid:durableId="813302818">
    <w:abstractNumId w:val="34"/>
  </w:num>
  <w:num w:numId="16" w16cid:durableId="236787105">
    <w:abstractNumId w:val="23"/>
  </w:num>
  <w:num w:numId="17" w16cid:durableId="1803620844">
    <w:abstractNumId w:val="15"/>
  </w:num>
  <w:num w:numId="18" w16cid:durableId="205217918">
    <w:abstractNumId w:val="31"/>
  </w:num>
  <w:num w:numId="19" w16cid:durableId="637610003">
    <w:abstractNumId w:val="26"/>
  </w:num>
  <w:num w:numId="20" w16cid:durableId="1342900579">
    <w:abstractNumId w:val="24"/>
  </w:num>
  <w:num w:numId="21" w16cid:durableId="313950155">
    <w:abstractNumId w:val="20"/>
  </w:num>
  <w:num w:numId="22" w16cid:durableId="790124327">
    <w:abstractNumId w:val="12"/>
  </w:num>
  <w:num w:numId="23" w16cid:durableId="514267689">
    <w:abstractNumId w:val="27"/>
  </w:num>
  <w:num w:numId="24" w16cid:durableId="1089035967">
    <w:abstractNumId w:val="29"/>
  </w:num>
  <w:num w:numId="25" w16cid:durableId="1460881292">
    <w:abstractNumId w:val="13"/>
  </w:num>
  <w:num w:numId="26" w16cid:durableId="1442337684">
    <w:abstractNumId w:val="30"/>
  </w:num>
  <w:num w:numId="27" w16cid:durableId="1844322337">
    <w:abstractNumId w:val="0"/>
  </w:num>
  <w:num w:numId="28" w16cid:durableId="279652678">
    <w:abstractNumId w:val="1"/>
  </w:num>
  <w:num w:numId="29" w16cid:durableId="1011449146">
    <w:abstractNumId w:val="4"/>
  </w:num>
  <w:num w:numId="30" w16cid:durableId="949504958">
    <w:abstractNumId w:val="2"/>
  </w:num>
  <w:num w:numId="31" w16cid:durableId="2140565008">
    <w:abstractNumId w:val="3"/>
  </w:num>
  <w:num w:numId="32" w16cid:durableId="1136415182">
    <w:abstractNumId w:val="10"/>
  </w:num>
  <w:num w:numId="33" w16cid:durableId="2120905501">
    <w:abstractNumId w:val="16"/>
  </w:num>
  <w:num w:numId="34" w16cid:durableId="640773216">
    <w:abstractNumId w:val="5"/>
  </w:num>
  <w:num w:numId="35" w16cid:durableId="2128231104">
    <w:abstractNumId w:val="18"/>
  </w:num>
  <w:num w:numId="36" w16cid:durableId="68308865">
    <w:abstractNumId w:val="21"/>
  </w:num>
  <w:num w:numId="37" w16cid:durableId="1647389306">
    <w:abstractNumId w:val="14"/>
  </w:num>
  <w:num w:numId="38" w16cid:durableId="170534849">
    <w:abstractNumId w:val="22"/>
  </w:num>
  <w:num w:numId="39" w16cid:durableId="1349871567">
    <w:abstractNumId w:val="38"/>
  </w:num>
  <w:num w:numId="40" w16cid:durableId="192368372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B72"/>
    <w:rsid w:val="00000557"/>
    <w:rsid w:val="00000579"/>
    <w:rsid w:val="00012D6B"/>
    <w:rsid w:val="000151B5"/>
    <w:rsid w:val="000201BB"/>
    <w:rsid w:val="00021E60"/>
    <w:rsid w:val="00023061"/>
    <w:rsid w:val="00027EFE"/>
    <w:rsid w:val="00033F54"/>
    <w:rsid w:val="000347F2"/>
    <w:rsid w:val="00036798"/>
    <w:rsid w:val="00037838"/>
    <w:rsid w:val="00043283"/>
    <w:rsid w:val="000437FA"/>
    <w:rsid w:val="00044FE0"/>
    <w:rsid w:val="00045D91"/>
    <w:rsid w:val="00050824"/>
    <w:rsid w:val="000538AE"/>
    <w:rsid w:val="00054734"/>
    <w:rsid w:val="000618A5"/>
    <w:rsid w:val="00065462"/>
    <w:rsid w:val="00067998"/>
    <w:rsid w:val="00075669"/>
    <w:rsid w:val="000809D3"/>
    <w:rsid w:val="00083B9A"/>
    <w:rsid w:val="00083EFE"/>
    <w:rsid w:val="00090606"/>
    <w:rsid w:val="000A05F9"/>
    <w:rsid w:val="000A21DC"/>
    <w:rsid w:val="000A70D4"/>
    <w:rsid w:val="000B0909"/>
    <w:rsid w:val="000B2498"/>
    <w:rsid w:val="000B37DA"/>
    <w:rsid w:val="000B504D"/>
    <w:rsid w:val="000B6E2D"/>
    <w:rsid w:val="000B6FFE"/>
    <w:rsid w:val="000C0BD3"/>
    <w:rsid w:val="000C1FE7"/>
    <w:rsid w:val="000D3EDF"/>
    <w:rsid w:val="000D5706"/>
    <w:rsid w:val="000D5C7D"/>
    <w:rsid w:val="000E04FB"/>
    <w:rsid w:val="000E068D"/>
    <w:rsid w:val="000E0891"/>
    <w:rsid w:val="000E2417"/>
    <w:rsid w:val="000E4F55"/>
    <w:rsid w:val="000F28B4"/>
    <w:rsid w:val="000F58FF"/>
    <w:rsid w:val="0010381D"/>
    <w:rsid w:val="0010394B"/>
    <w:rsid w:val="00106D98"/>
    <w:rsid w:val="00111FB2"/>
    <w:rsid w:val="0011372A"/>
    <w:rsid w:val="00122DAE"/>
    <w:rsid w:val="00122F43"/>
    <w:rsid w:val="0012303F"/>
    <w:rsid w:val="00125514"/>
    <w:rsid w:val="001260C4"/>
    <w:rsid w:val="00130004"/>
    <w:rsid w:val="0013093C"/>
    <w:rsid w:val="00132D4C"/>
    <w:rsid w:val="00133F5B"/>
    <w:rsid w:val="00136456"/>
    <w:rsid w:val="00142D4A"/>
    <w:rsid w:val="001446FE"/>
    <w:rsid w:val="0015214D"/>
    <w:rsid w:val="0015222E"/>
    <w:rsid w:val="0015241C"/>
    <w:rsid w:val="0015311E"/>
    <w:rsid w:val="001548C9"/>
    <w:rsid w:val="00155DA3"/>
    <w:rsid w:val="001624F6"/>
    <w:rsid w:val="00163698"/>
    <w:rsid w:val="00163DEE"/>
    <w:rsid w:val="001641C7"/>
    <w:rsid w:val="00166BAA"/>
    <w:rsid w:val="00166FD7"/>
    <w:rsid w:val="00172659"/>
    <w:rsid w:val="00174C86"/>
    <w:rsid w:val="00175E7D"/>
    <w:rsid w:val="00191224"/>
    <w:rsid w:val="001912D6"/>
    <w:rsid w:val="001915A9"/>
    <w:rsid w:val="001915C9"/>
    <w:rsid w:val="0019440F"/>
    <w:rsid w:val="0019552C"/>
    <w:rsid w:val="001A7457"/>
    <w:rsid w:val="001B0CEC"/>
    <w:rsid w:val="001B1B62"/>
    <w:rsid w:val="001B24F3"/>
    <w:rsid w:val="001B4F4B"/>
    <w:rsid w:val="001C2771"/>
    <w:rsid w:val="001C3300"/>
    <w:rsid w:val="001C3309"/>
    <w:rsid w:val="001C6318"/>
    <w:rsid w:val="001D4FE6"/>
    <w:rsid w:val="001D5646"/>
    <w:rsid w:val="001D565C"/>
    <w:rsid w:val="001D5BF5"/>
    <w:rsid w:val="001E375F"/>
    <w:rsid w:val="001E40A9"/>
    <w:rsid w:val="001E65D0"/>
    <w:rsid w:val="001F6BEC"/>
    <w:rsid w:val="002000AC"/>
    <w:rsid w:val="00201B21"/>
    <w:rsid w:val="00205AD7"/>
    <w:rsid w:val="00205B28"/>
    <w:rsid w:val="002108AE"/>
    <w:rsid w:val="00211C91"/>
    <w:rsid w:val="00213BF8"/>
    <w:rsid w:val="00222926"/>
    <w:rsid w:val="0022418A"/>
    <w:rsid w:val="00232900"/>
    <w:rsid w:val="00233A07"/>
    <w:rsid w:val="00233D90"/>
    <w:rsid w:val="00233FC5"/>
    <w:rsid w:val="002364E9"/>
    <w:rsid w:val="00240D22"/>
    <w:rsid w:val="0024146D"/>
    <w:rsid w:val="00241F29"/>
    <w:rsid w:val="00242710"/>
    <w:rsid w:val="00244C25"/>
    <w:rsid w:val="00244C63"/>
    <w:rsid w:val="0024541A"/>
    <w:rsid w:val="00246602"/>
    <w:rsid w:val="002635EC"/>
    <w:rsid w:val="00264C32"/>
    <w:rsid w:val="0026686E"/>
    <w:rsid w:val="00266EBB"/>
    <w:rsid w:val="0026723C"/>
    <w:rsid w:val="00273B5A"/>
    <w:rsid w:val="002751A5"/>
    <w:rsid w:val="002801ED"/>
    <w:rsid w:val="00280658"/>
    <w:rsid w:val="00280EBE"/>
    <w:rsid w:val="00282D28"/>
    <w:rsid w:val="00287AC6"/>
    <w:rsid w:val="002942CF"/>
    <w:rsid w:val="00296674"/>
    <w:rsid w:val="002A30AE"/>
    <w:rsid w:val="002A36EC"/>
    <w:rsid w:val="002A4632"/>
    <w:rsid w:val="002B0D17"/>
    <w:rsid w:val="002B263C"/>
    <w:rsid w:val="002B4C6D"/>
    <w:rsid w:val="002B51D4"/>
    <w:rsid w:val="002B5CEA"/>
    <w:rsid w:val="002B5F6B"/>
    <w:rsid w:val="002C1E59"/>
    <w:rsid w:val="002C285F"/>
    <w:rsid w:val="002C32EB"/>
    <w:rsid w:val="002C5318"/>
    <w:rsid w:val="002D02FB"/>
    <w:rsid w:val="002D2025"/>
    <w:rsid w:val="002D2ABE"/>
    <w:rsid w:val="002D40B5"/>
    <w:rsid w:val="002D47AB"/>
    <w:rsid w:val="002D599A"/>
    <w:rsid w:val="002D6A0E"/>
    <w:rsid w:val="002E12C9"/>
    <w:rsid w:val="002E181C"/>
    <w:rsid w:val="002E2462"/>
    <w:rsid w:val="002E3C54"/>
    <w:rsid w:val="002E50FC"/>
    <w:rsid w:val="002E6646"/>
    <w:rsid w:val="002E6DCC"/>
    <w:rsid w:val="002F148F"/>
    <w:rsid w:val="002F289B"/>
    <w:rsid w:val="002F2E5A"/>
    <w:rsid w:val="002F6F07"/>
    <w:rsid w:val="002F724C"/>
    <w:rsid w:val="002F7312"/>
    <w:rsid w:val="00301E2B"/>
    <w:rsid w:val="003033C4"/>
    <w:rsid w:val="0030347F"/>
    <w:rsid w:val="00304116"/>
    <w:rsid w:val="00307F60"/>
    <w:rsid w:val="003114AB"/>
    <w:rsid w:val="00314358"/>
    <w:rsid w:val="00314F1E"/>
    <w:rsid w:val="00316298"/>
    <w:rsid w:val="003168F8"/>
    <w:rsid w:val="00321A87"/>
    <w:rsid w:val="00324595"/>
    <w:rsid w:val="00326AA6"/>
    <w:rsid w:val="00330003"/>
    <w:rsid w:val="00330544"/>
    <w:rsid w:val="00332332"/>
    <w:rsid w:val="00333718"/>
    <w:rsid w:val="00334AED"/>
    <w:rsid w:val="00344B96"/>
    <w:rsid w:val="003453CD"/>
    <w:rsid w:val="00345619"/>
    <w:rsid w:val="003514D9"/>
    <w:rsid w:val="00362363"/>
    <w:rsid w:val="00362E70"/>
    <w:rsid w:val="003648B1"/>
    <w:rsid w:val="00371545"/>
    <w:rsid w:val="0037158B"/>
    <w:rsid w:val="00374002"/>
    <w:rsid w:val="00377CF4"/>
    <w:rsid w:val="00383D48"/>
    <w:rsid w:val="003847CE"/>
    <w:rsid w:val="0038481B"/>
    <w:rsid w:val="00386DD2"/>
    <w:rsid w:val="00386E64"/>
    <w:rsid w:val="003871E3"/>
    <w:rsid w:val="00387B94"/>
    <w:rsid w:val="00392BC3"/>
    <w:rsid w:val="0039560D"/>
    <w:rsid w:val="003A0999"/>
    <w:rsid w:val="003A2194"/>
    <w:rsid w:val="003A5E8F"/>
    <w:rsid w:val="003A76C5"/>
    <w:rsid w:val="003A7FB1"/>
    <w:rsid w:val="003B0203"/>
    <w:rsid w:val="003B0D50"/>
    <w:rsid w:val="003B578B"/>
    <w:rsid w:val="003B6535"/>
    <w:rsid w:val="003C0337"/>
    <w:rsid w:val="003C1BB4"/>
    <w:rsid w:val="003C1EE6"/>
    <w:rsid w:val="003C23EE"/>
    <w:rsid w:val="003C68FD"/>
    <w:rsid w:val="003D08DD"/>
    <w:rsid w:val="003D15A4"/>
    <w:rsid w:val="003D1A95"/>
    <w:rsid w:val="003D44F2"/>
    <w:rsid w:val="003D5B40"/>
    <w:rsid w:val="003D66B6"/>
    <w:rsid w:val="003E2C1F"/>
    <w:rsid w:val="003E2CCB"/>
    <w:rsid w:val="003E7E2F"/>
    <w:rsid w:val="003F1EA8"/>
    <w:rsid w:val="003F6C68"/>
    <w:rsid w:val="003F7F50"/>
    <w:rsid w:val="004017FB"/>
    <w:rsid w:val="004102F9"/>
    <w:rsid w:val="0041118E"/>
    <w:rsid w:val="00411366"/>
    <w:rsid w:val="00411D4A"/>
    <w:rsid w:val="0041489C"/>
    <w:rsid w:val="00416294"/>
    <w:rsid w:val="00420C48"/>
    <w:rsid w:val="0042621F"/>
    <w:rsid w:val="00431C99"/>
    <w:rsid w:val="004322DD"/>
    <w:rsid w:val="00433878"/>
    <w:rsid w:val="00433EE5"/>
    <w:rsid w:val="004342E2"/>
    <w:rsid w:val="00435DAD"/>
    <w:rsid w:val="00436001"/>
    <w:rsid w:val="004370DA"/>
    <w:rsid w:val="004403C3"/>
    <w:rsid w:val="00443353"/>
    <w:rsid w:val="00444521"/>
    <w:rsid w:val="00446333"/>
    <w:rsid w:val="00446B88"/>
    <w:rsid w:val="00450388"/>
    <w:rsid w:val="00451E21"/>
    <w:rsid w:val="004530C7"/>
    <w:rsid w:val="00453CC4"/>
    <w:rsid w:val="0046023B"/>
    <w:rsid w:val="00462DFC"/>
    <w:rsid w:val="004654E5"/>
    <w:rsid w:val="00465BFC"/>
    <w:rsid w:val="00465DF6"/>
    <w:rsid w:val="004670F0"/>
    <w:rsid w:val="004679D3"/>
    <w:rsid w:val="0047038A"/>
    <w:rsid w:val="004730CD"/>
    <w:rsid w:val="004809EB"/>
    <w:rsid w:val="004813E0"/>
    <w:rsid w:val="004837B7"/>
    <w:rsid w:val="00483BC2"/>
    <w:rsid w:val="00485543"/>
    <w:rsid w:val="004856EF"/>
    <w:rsid w:val="004860B7"/>
    <w:rsid w:val="00487242"/>
    <w:rsid w:val="00493770"/>
    <w:rsid w:val="004941DE"/>
    <w:rsid w:val="0049684D"/>
    <w:rsid w:val="004A3FBE"/>
    <w:rsid w:val="004A64F7"/>
    <w:rsid w:val="004B71FF"/>
    <w:rsid w:val="004B7BD3"/>
    <w:rsid w:val="004C07A1"/>
    <w:rsid w:val="004C41BA"/>
    <w:rsid w:val="004C4837"/>
    <w:rsid w:val="004C4A01"/>
    <w:rsid w:val="004D1A5C"/>
    <w:rsid w:val="004D4C3B"/>
    <w:rsid w:val="004D5518"/>
    <w:rsid w:val="004D62E7"/>
    <w:rsid w:val="004D6AFD"/>
    <w:rsid w:val="004E0855"/>
    <w:rsid w:val="004E450D"/>
    <w:rsid w:val="004E4FB7"/>
    <w:rsid w:val="004E6702"/>
    <w:rsid w:val="004F5726"/>
    <w:rsid w:val="00503275"/>
    <w:rsid w:val="00510BAE"/>
    <w:rsid w:val="00510E19"/>
    <w:rsid w:val="0051259A"/>
    <w:rsid w:val="00513E9C"/>
    <w:rsid w:val="00515040"/>
    <w:rsid w:val="00516E8A"/>
    <w:rsid w:val="00521F93"/>
    <w:rsid w:val="00522D6E"/>
    <w:rsid w:val="005242B8"/>
    <w:rsid w:val="00525EBF"/>
    <w:rsid w:val="005300C6"/>
    <w:rsid w:val="00531D14"/>
    <w:rsid w:val="00532CD3"/>
    <w:rsid w:val="00533735"/>
    <w:rsid w:val="00543F9F"/>
    <w:rsid w:val="00546171"/>
    <w:rsid w:val="005464D2"/>
    <w:rsid w:val="00550593"/>
    <w:rsid w:val="005533E1"/>
    <w:rsid w:val="005608A4"/>
    <w:rsid w:val="00560E4F"/>
    <w:rsid w:val="0056238A"/>
    <w:rsid w:val="00567F3D"/>
    <w:rsid w:val="00570A96"/>
    <w:rsid w:val="00581866"/>
    <w:rsid w:val="00582FCD"/>
    <w:rsid w:val="00583C11"/>
    <w:rsid w:val="00583E40"/>
    <w:rsid w:val="00587893"/>
    <w:rsid w:val="00593BFF"/>
    <w:rsid w:val="005973BA"/>
    <w:rsid w:val="00597770"/>
    <w:rsid w:val="005A1E46"/>
    <w:rsid w:val="005A2701"/>
    <w:rsid w:val="005A72E7"/>
    <w:rsid w:val="005B09C3"/>
    <w:rsid w:val="005B345C"/>
    <w:rsid w:val="005B6175"/>
    <w:rsid w:val="005C33E9"/>
    <w:rsid w:val="005C4B73"/>
    <w:rsid w:val="005C4D95"/>
    <w:rsid w:val="005C513D"/>
    <w:rsid w:val="005C64AB"/>
    <w:rsid w:val="005C6E1D"/>
    <w:rsid w:val="005C710F"/>
    <w:rsid w:val="005D69E3"/>
    <w:rsid w:val="005E2C6A"/>
    <w:rsid w:val="005E5B36"/>
    <w:rsid w:val="005F3005"/>
    <w:rsid w:val="005F66CC"/>
    <w:rsid w:val="006002C5"/>
    <w:rsid w:val="006003E5"/>
    <w:rsid w:val="00603BE2"/>
    <w:rsid w:val="00603C7C"/>
    <w:rsid w:val="006057A0"/>
    <w:rsid w:val="0060761C"/>
    <w:rsid w:val="006133E5"/>
    <w:rsid w:val="006152A6"/>
    <w:rsid w:val="00616ED1"/>
    <w:rsid w:val="00617A5E"/>
    <w:rsid w:val="00637D91"/>
    <w:rsid w:val="00640688"/>
    <w:rsid w:val="00645165"/>
    <w:rsid w:val="00645599"/>
    <w:rsid w:val="006534EC"/>
    <w:rsid w:val="00654890"/>
    <w:rsid w:val="00656A20"/>
    <w:rsid w:val="00657497"/>
    <w:rsid w:val="00660B4F"/>
    <w:rsid w:val="00661515"/>
    <w:rsid w:val="00662296"/>
    <w:rsid w:val="0066281F"/>
    <w:rsid w:val="0066695F"/>
    <w:rsid w:val="006679ED"/>
    <w:rsid w:val="00672891"/>
    <w:rsid w:val="00675E4D"/>
    <w:rsid w:val="00681C96"/>
    <w:rsid w:val="00682E0B"/>
    <w:rsid w:val="0068307E"/>
    <w:rsid w:val="0068696C"/>
    <w:rsid w:val="00686CAF"/>
    <w:rsid w:val="00690824"/>
    <w:rsid w:val="006928C6"/>
    <w:rsid w:val="006941F3"/>
    <w:rsid w:val="0069425F"/>
    <w:rsid w:val="00694AC5"/>
    <w:rsid w:val="00696483"/>
    <w:rsid w:val="00696D5E"/>
    <w:rsid w:val="00697EF3"/>
    <w:rsid w:val="006A029E"/>
    <w:rsid w:val="006A057E"/>
    <w:rsid w:val="006A0973"/>
    <w:rsid w:val="006A158A"/>
    <w:rsid w:val="006A35F0"/>
    <w:rsid w:val="006B3495"/>
    <w:rsid w:val="006B574F"/>
    <w:rsid w:val="006B6586"/>
    <w:rsid w:val="006B6FBC"/>
    <w:rsid w:val="006B77E4"/>
    <w:rsid w:val="006B79CB"/>
    <w:rsid w:val="006C10C2"/>
    <w:rsid w:val="006C54B3"/>
    <w:rsid w:val="006C592C"/>
    <w:rsid w:val="006C5F37"/>
    <w:rsid w:val="006D161B"/>
    <w:rsid w:val="006D1B4E"/>
    <w:rsid w:val="006D5971"/>
    <w:rsid w:val="006E3C64"/>
    <w:rsid w:val="006E60F6"/>
    <w:rsid w:val="006E63E6"/>
    <w:rsid w:val="006E66FE"/>
    <w:rsid w:val="006E74DF"/>
    <w:rsid w:val="006F04C8"/>
    <w:rsid w:val="006F2137"/>
    <w:rsid w:val="006F2698"/>
    <w:rsid w:val="006F3CAE"/>
    <w:rsid w:val="006F6562"/>
    <w:rsid w:val="006F693B"/>
    <w:rsid w:val="00703194"/>
    <w:rsid w:val="007032CE"/>
    <w:rsid w:val="007069E1"/>
    <w:rsid w:val="00710EB1"/>
    <w:rsid w:val="007114D3"/>
    <w:rsid w:val="007126C2"/>
    <w:rsid w:val="007130D2"/>
    <w:rsid w:val="00714080"/>
    <w:rsid w:val="0071423B"/>
    <w:rsid w:val="00714A38"/>
    <w:rsid w:val="007208BC"/>
    <w:rsid w:val="00721620"/>
    <w:rsid w:val="0072205A"/>
    <w:rsid w:val="00722B72"/>
    <w:rsid w:val="0072711F"/>
    <w:rsid w:val="00733FE8"/>
    <w:rsid w:val="00734C91"/>
    <w:rsid w:val="00740E45"/>
    <w:rsid w:val="00746303"/>
    <w:rsid w:val="00747108"/>
    <w:rsid w:val="007478CE"/>
    <w:rsid w:val="00751363"/>
    <w:rsid w:val="00754A87"/>
    <w:rsid w:val="00760659"/>
    <w:rsid w:val="00761C1F"/>
    <w:rsid w:val="00763EB6"/>
    <w:rsid w:val="007640B6"/>
    <w:rsid w:val="00765A7F"/>
    <w:rsid w:val="00765BDA"/>
    <w:rsid w:val="00765CCC"/>
    <w:rsid w:val="0077093C"/>
    <w:rsid w:val="00774EFD"/>
    <w:rsid w:val="00775595"/>
    <w:rsid w:val="00783B80"/>
    <w:rsid w:val="00785111"/>
    <w:rsid w:val="00793182"/>
    <w:rsid w:val="0079371A"/>
    <w:rsid w:val="007A1413"/>
    <w:rsid w:val="007A3D2C"/>
    <w:rsid w:val="007B0866"/>
    <w:rsid w:val="007B1840"/>
    <w:rsid w:val="007B1A48"/>
    <w:rsid w:val="007B2427"/>
    <w:rsid w:val="007B2BC0"/>
    <w:rsid w:val="007B7B17"/>
    <w:rsid w:val="007C665F"/>
    <w:rsid w:val="007C74E0"/>
    <w:rsid w:val="007D01BC"/>
    <w:rsid w:val="007D0B02"/>
    <w:rsid w:val="007D114F"/>
    <w:rsid w:val="007D4E60"/>
    <w:rsid w:val="007E0A98"/>
    <w:rsid w:val="007E1B2B"/>
    <w:rsid w:val="007E299F"/>
    <w:rsid w:val="007E3CBE"/>
    <w:rsid w:val="007E5ADD"/>
    <w:rsid w:val="007E6043"/>
    <w:rsid w:val="007E631C"/>
    <w:rsid w:val="00800580"/>
    <w:rsid w:val="008029FC"/>
    <w:rsid w:val="00806894"/>
    <w:rsid w:val="00807C91"/>
    <w:rsid w:val="00811421"/>
    <w:rsid w:val="0081532D"/>
    <w:rsid w:val="00815767"/>
    <w:rsid w:val="008208D0"/>
    <w:rsid w:val="00821BB2"/>
    <w:rsid w:val="00822559"/>
    <w:rsid w:val="008238D2"/>
    <w:rsid w:val="00823F3E"/>
    <w:rsid w:val="00827DD3"/>
    <w:rsid w:val="00830163"/>
    <w:rsid w:val="0083229B"/>
    <w:rsid w:val="00834598"/>
    <w:rsid w:val="0083490F"/>
    <w:rsid w:val="0083668E"/>
    <w:rsid w:val="00837D6D"/>
    <w:rsid w:val="00837D86"/>
    <w:rsid w:val="00840796"/>
    <w:rsid w:val="00843AED"/>
    <w:rsid w:val="0084738B"/>
    <w:rsid w:val="00847C13"/>
    <w:rsid w:val="00860DFB"/>
    <w:rsid w:val="00861C4A"/>
    <w:rsid w:val="0086353F"/>
    <w:rsid w:val="00863998"/>
    <w:rsid w:val="008647D2"/>
    <w:rsid w:val="00865048"/>
    <w:rsid w:val="00865D2B"/>
    <w:rsid w:val="00867B93"/>
    <w:rsid w:val="008703B4"/>
    <w:rsid w:val="00872155"/>
    <w:rsid w:val="008750BA"/>
    <w:rsid w:val="0088017B"/>
    <w:rsid w:val="00887DAA"/>
    <w:rsid w:val="0089475D"/>
    <w:rsid w:val="008A2956"/>
    <w:rsid w:val="008A2B69"/>
    <w:rsid w:val="008B1AF6"/>
    <w:rsid w:val="008B70B0"/>
    <w:rsid w:val="008B7A87"/>
    <w:rsid w:val="008C0BF7"/>
    <w:rsid w:val="008C2224"/>
    <w:rsid w:val="008C48E5"/>
    <w:rsid w:val="008C57D1"/>
    <w:rsid w:val="008C63F0"/>
    <w:rsid w:val="008C7AB5"/>
    <w:rsid w:val="008D0562"/>
    <w:rsid w:val="008D05DC"/>
    <w:rsid w:val="008D1F48"/>
    <w:rsid w:val="008D52FD"/>
    <w:rsid w:val="008E7AF9"/>
    <w:rsid w:val="008F1ACA"/>
    <w:rsid w:val="008F206F"/>
    <w:rsid w:val="008F3753"/>
    <w:rsid w:val="008F387E"/>
    <w:rsid w:val="008F45E4"/>
    <w:rsid w:val="008F5A3E"/>
    <w:rsid w:val="00900C4D"/>
    <w:rsid w:val="009019C4"/>
    <w:rsid w:val="00903214"/>
    <w:rsid w:val="00903B5A"/>
    <w:rsid w:val="00910FFA"/>
    <w:rsid w:val="00911FDF"/>
    <w:rsid w:val="009120F1"/>
    <w:rsid w:val="009132A3"/>
    <w:rsid w:val="00913AA9"/>
    <w:rsid w:val="00915EE4"/>
    <w:rsid w:val="00916584"/>
    <w:rsid w:val="009166F9"/>
    <w:rsid w:val="009211B6"/>
    <w:rsid w:val="00925B6B"/>
    <w:rsid w:val="0093207E"/>
    <w:rsid w:val="00932B32"/>
    <w:rsid w:val="00940B16"/>
    <w:rsid w:val="0094368B"/>
    <w:rsid w:val="009438A6"/>
    <w:rsid w:val="00943FF8"/>
    <w:rsid w:val="0094580C"/>
    <w:rsid w:val="00951875"/>
    <w:rsid w:val="00952CF8"/>
    <w:rsid w:val="0095368E"/>
    <w:rsid w:val="00954ACD"/>
    <w:rsid w:val="00954D2E"/>
    <w:rsid w:val="00956F40"/>
    <w:rsid w:val="009570A2"/>
    <w:rsid w:val="00961A1E"/>
    <w:rsid w:val="009644D1"/>
    <w:rsid w:val="009663DE"/>
    <w:rsid w:val="00966A8A"/>
    <w:rsid w:val="00967B09"/>
    <w:rsid w:val="00971FAE"/>
    <w:rsid w:val="0098668C"/>
    <w:rsid w:val="00993695"/>
    <w:rsid w:val="00995A8E"/>
    <w:rsid w:val="009A390F"/>
    <w:rsid w:val="009A7E05"/>
    <w:rsid w:val="009B1B35"/>
    <w:rsid w:val="009B1FAB"/>
    <w:rsid w:val="009B4E9C"/>
    <w:rsid w:val="009C0D5A"/>
    <w:rsid w:val="009C7484"/>
    <w:rsid w:val="009C7989"/>
    <w:rsid w:val="009D4FA7"/>
    <w:rsid w:val="009E4603"/>
    <w:rsid w:val="009E48C3"/>
    <w:rsid w:val="009E4E3A"/>
    <w:rsid w:val="009F2E23"/>
    <w:rsid w:val="009F4703"/>
    <w:rsid w:val="009F6AEC"/>
    <w:rsid w:val="00A02B6B"/>
    <w:rsid w:val="00A05699"/>
    <w:rsid w:val="00A07D09"/>
    <w:rsid w:val="00A11A97"/>
    <w:rsid w:val="00A126A1"/>
    <w:rsid w:val="00A12A00"/>
    <w:rsid w:val="00A12E7A"/>
    <w:rsid w:val="00A156E3"/>
    <w:rsid w:val="00A168C3"/>
    <w:rsid w:val="00A2004D"/>
    <w:rsid w:val="00A22AF9"/>
    <w:rsid w:val="00A25A00"/>
    <w:rsid w:val="00A25F63"/>
    <w:rsid w:val="00A304B9"/>
    <w:rsid w:val="00A30556"/>
    <w:rsid w:val="00A31961"/>
    <w:rsid w:val="00A32F81"/>
    <w:rsid w:val="00A33864"/>
    <w:rsid w:val="00A372A3"/>
    <w:rsid w:val="00A3787C"/>
    <w:rsid w:val="00A40C4F"/>
    <w:rsid w:val="00A4426B"/>
    <w:rsid w:val="00A45244"/>
    <w:rsid w:val="00A54980"/>
    <w:rsid w:val="00A54C26"/>
    <w:rsid w:val="00A62E44"/>
    <w:rsid w:val="00A64498"/>
    <w:rsid w:val="00A65B3C"/>
    <w:rsid w:val="00A73EA1"/>
    <w:rsid w:val="00A744C8"/>
    <w:rsid w:val="00A75A30"/>
    <w:rsid w:val="00A76447"/>
    <w:rsid w:val="00A76C1B"/>
    <w:rsid w:val="00A76FBE"/>
    <w:rsid w:val="00A77DB8"/>
    <w:rsid w:val="00A82DC9"/>
    <w:rsid w:val="00A84084"/>
    <w:rsid w:val="00A85A46"/>
    <w:rsid w:val="00A8628A"/>
    <w:rsid w:val="00A87119"/>
    <w:rsid w:val="00A91208"/>
    <w:rsid w:val="00A929D5"/>
    <w:rsid w:val="00A97EEC"/>
    <w:rsid w:val="00AA1719"/>
    <w:rsid w:val="00AA2523"/>
    <w:rsid w:val="00AA4DDD"/>
    <w:rsid w:val="00AA52CB"/>
    <w:rsid w:val="00AA5FEE"/>
    <w:rsid w:val="00AA7022"/>
    <w:rsid w:val="00AB0B61"/>
    <w:rsid w:val="00AB2D74"/>
    <w:rsid w:val="00AB4C76"/>
    <w:rsid w:val="00AB5DF2"/>
    <w:rsid w:val="00AB7C1D"/>
    <w:rsid w:val="00AC02A0"/>
    <w:rsid w:val="00AC3E81"/>
    <w:rsid w:val="00AC4886"/>
    <w:rsid w:val="00AC72D3"/>
    <w:rsid w:val="00AD33D1"/>
    <w:rsid w:val="00AE0B48"/>
    <w:rsid w:val="00AF4099"/>
    <w:rsid w:val="00AF43D9"/>
    <w:rsid w:val="00B01C61"/>
    <w:rsid w:val="00B03C9C"/>
    <w:rsid w:val="00B053EB"/>
    <w:rsid w:val="00B0642A"/>
    <w:rsid w:val="00B0733F"/>
    <w:rsid w:val="00B10528"/>
    <w:rsid w:val="00B113EA"/>
    <w:rsid w:val="00B1687E"/>
    <w:rsid w:val="00B21B6C"/>
    <w:rsid w:val="00B222F4"/>
    <w:rsid w:val="00B22F16"/>
    <w:rsid w:val="00B25A6C"/>
    <w:rsid w:val="00B25BAE"/>
    <w:rsid w:val="00B274FF"/>
    <w:rsid w:val="00B40456"/>
    <w:rsid w:val="00B43EC1"/>
    <w:rsid w:val="00B45EAD"/>
    <w:rsid w:val="00B5034D"/>
    <w:rsid w:val="00B51807"/>
    <w:rsid w:val="00B5530D"/>
    <w:rsid w:val="00B608F1"/>
    <w:rsid w:val="00B6177F"/>
    <w:rsid w:val="00B619D7"/>
    <w:rsid w:val="00B649A4"/>
    <w:rsid w:val="00B663E7"/>
    <w:rsid w:val="00B66DB7"/>
    <w:rsid w:val="00B675F3"/>
    <w:rsid w:val="00B70321"/>
    <w:rsid w:val="00B70C63"/>
    <w:rsid w:val="00B70E9D"/>
    <w:rsid w:val="00B71398"/>
    <w:rsid w:val="00B71B99"/>
    <w:rsid w:val="00B775EA"/>
    <w:rsid w:val="00B81201"/>
    <w:rsid w:val="00B81E31"/>
    <w:rsid w:val="00B832D7"/>
    <w:rsid w:val="00B84B29"/>
    <w:rsid w:val="00B85F19"/>
    <w:rsid w:val="00B92168"/>
    <w:rsid w:val="00B938C0"/>
    <w:rsid w:val="00B93B7C"/>
    <w:rsid w:val="00B95A3F"/>
    <w:rsid w:val="00B96C16"/>
    <w:rsid w:val="00B97B7C"/>
    <w:rsid w:val="00BA3FD1"/>
    <w:rsid w:val="00BA5B46"/>
    <w:rsid w:val="00BB23C9"/>
    <w:rsid w:val="00BB3F04"/>
    <w:rsid w:val="00BB4008"/>
    <w:rsid w:val="00BC0E11"/>
    <w:rsid w:val="00BC1070"/>
    <w:rsid w:val="00BC3E81"/>
    <w:rsid w:val="00BC740C"/>
    <w:rsid w:val="00BC7F03"/>
    <w:rsid w:val="00BD3AF4"/>
    <w:rsid w:val="00BD3FE4"/>
    <w:rsid w:val="00BE08CC"/>
    <w:rsid w:val="00BE767E"/>
    <w:rsid w:val="00BF067B"/>
    <w:rsid w:val="00BF2E5E"/>
    <w:rsid w:val="00BF47EA"/>
    <w:rsid w:val="00BF559E"/>
    <w:rsid w:val="00C00E6E"/>
    <w:rsid w:val="00C02427"/>
    <w:rsid w:val="00C0331E"/>
    <w:rsid w:val="00C03D98"/>
    <w:rsid w:val="00C03EC8"/>
    <w:rsid w:val="00C04952"/>
    <w:rsid w:val="00C04C7D"/>
    <w:rsid w:val="00C111AB"/>
    <w:rsid w:val="00C12D3A"/>
    <w:rsid w:val="00C15EBB"/>
    <w:rsid w:val="00C22B18"/>
    <w:rsid w:val="00C23D19"/>
    <w:rsid w:val="00C247F1"/>
    <w:rsid w:val="00C25097"/>
    <w:rsid w:val="00C25367"/>
    <w:rsid w:val="00C25DC7"/>
    <w:rsid w:val="00C27A8A"/>
    <w:rsid w:val="00C31A64"/>
    <w:rsid w:val="00C37864"/>
    <w:rsid w:val="00C404A6"/>
    <w:rsid w:val="00C43410"/>
    <w:rsid w:val="00C448F8"/>
    <w:rsid w:val="00C452AB"/>
    <w:rsid w:val="00C47CB2"/>
    <w:rsid w:val="00C5603A"/>
    <w:rsid w:val="00C5635B"/>
    <w:rsid w:val="00C71640"/>
    <w:rsid w:val="00C73BB0"/>
    <w:rsid w:val="00C7525A"/>
    <w:rsid w:val="00C755E0"/>
    <w:rsid w:val="00C75B93"/>
    <w:rsid w:val="00C80808"/>
    <w:rsid w:val="00C83D65"/>
    <w:rsid w:val="00C86828"/>
    <w:rsid w:val="00C87F37"/>
    <w:rsid w:val="00C87F40"/>
    <w:rsid w:val="00C90C93"/>
    <w:rsid w:val="00C9790B"/>
    <w:rsid w:val="00CA005C"/>
    <w:rsid w:val="00CA1E88"/>
    <w:rsid w:val="00CA6468"/>
    <w:rsid w:val="00CA6B3E"/>
    <w:rsid w:val="00CC1757"/>
    <w:rsid w:val="00CC1DE9"/>
    <w:rsid w:val="00CC4118"/>
    <w:rsid w:val="00CC6276"/>
    <w:rsid w:val="00CC78DE"/>
    <w:rsid w:val="00CD0194"/>
    <w:rsid w:val="00CD093B"/>
    <w:rsid w:val="00CD372F"/>
    <w:rsid w:val="00CD3ECE"/>
    <w:rsid w:val="00CD43EB"/>
    <w:rsid w:val="00CD46F5"/>
    <w:rsid w:val="00CD50D3"/>
    <w:rsid w:val="00CD7F5E"/>
    <w:rsid w:val="00CE05C4"/>
    <w:rsid w:val="00CE5BCE"/>
    <w:rsid w:val="00CE68FE"/>
    <w:rsid w:val="00CF195F"/>
    <w:rsid w:val="00CF26A9"/>
    <w:rsid w:val="00CF750C"/>
    <w:rsid w:val="00D006FB"/>
    <w:rsid w:val="00D01D2E"/>
    <w:rsid w:val="00D02488"/>
    <w:rsid w:val="00D02756"/>
    <w:rsid w:val="00D02E16"/>
    <w:rsid w:val="00D10CCD"/>
    <w:rsid w:val="00D1593C"/>
    <w:rsid w:val="00D17D13"/>
    <w:rsid w:val="00D17F46"/>
    <w:rsid w:val="00D20164"/>
    <w:rsid w:val="00D211E0"/>
    <w:rsid w:val="00D23ECA"/>
    <w:rsid w:val="00D35EE6"/>
    <w:rsid w:val="00D36B7A"/>
    <w:rsid w:val="00D44E54"/>
    <w:rsid w:val="00D457CF"/>
    <w:rsid w:val="00D45E50"/>
    <w:rsid w:val="00D45E52"/>
    <w:rsid w:val="00D45ECE"/>
    <w:rsid w:val="00D521A0"/>
    <w:rsid w:val="00D561D2"/>
    <w:rsid w:val="00D60D59"/>
    <w:rsid w:val="00D61984"/>
    <w:rsid w:val="00D61F86"/>
    <w:rsid w:val="00D640EA"/>
    <w:rsid w:val="00D72707"/>
    <w:rsid w:val="00D74D0D"/>
    <w:rsid w:val="00D7619D"/>
    <w:rsid w:val="00D82979"/>
    <w:rsid w:val="00D85D98"/>
    <w:rsid w:val="00D955BB"/>
    <w:rsid w:val="00D9568C"/>
    <w:rsid w:val="00D9690C"/>
    <w:rsid w:val="00DA0071"/>
    <w:rsid w:val="00DA2658"/>
    <w:rsid w:val="00DA3099"/>
    <w:rsid w:val="00DA76D6"/>
    <w:rsid w:val="00DB1308"/>
    <w:rsid w:val="00DB42D9"/>
    <w:rsid w:val="00DB4C43"/>
    <w:rsid w:val="00DB52F7"/>
    <w:rsid w:val="00DB5BB1"/>
    <w:rsid w:val="00DB7CF3"/>
    <w:rsid w:val="00DC2FCC"/>
    <w:rsid w:val="00DD0990"/>
    <w:rsid w:val="00DD72B7"/>
    <w:rsid w:val="00DD73F4"/>
    <w:rsid w:val="00DD7F1C"/>
    <w:rsid w:val="00DE1848"/>
    <w:rsid w:val="00DE3DF7"/>
    <w:rsid w:val="00DF019C"/>
    <w:rsid w:val="00DF061B"/>
    <w:rsid w:val="00DF2FBA"/>
    <w:rsid w:val="00DF50D0"/>
    <w:rsid w:val="00DF6344"/>
    <w:rsid w:val="00DF78D3"/>
    <w:rsid w:val="00E018C1"/>
    <w:rsid w:val="00E04540"/>
    <w:rsid w:val="00E05C2A"/>
    <w:rsid w:val="00E07CBC"/>
    <w:rsid w:val="00E120F2"/>
    <w:rsid w:val="00E13C89"/>
    <w:rsid w:val="00E15635"/>
    <w:rsid w:val="00E203A1"/>
    <w:rsid w:val="00E21157"/>
    <w:rsid w:val="00E21A1B"/>
    <w:rsid w:val="00E2793C"/>
    <w:rsid w:val="00E33F91"/>
    <w:rsid w:val="00E40BEC"/>
    <w:rsid w:val="00E47DC3"/>
    <w:rsid w:val="00E50DB8"/>
    <w:rsid w:val="00E52A8D"/>
    <w:rsid w:val="00E5408F"/>
    <w:rsid w:val="00E54FA4"/>
    <w:rsid w:val="00E5613C"/>
    <w:rsid w:val="00E57BD9"/>
    <w:rsid w:val="00E60FF6"/>
    <w:rsid w:val="00E717AD"/>
    <w:rsid w:val="00E74481"/>
    <w:rsid w:val="00E83F28"/>
    <w:rsid w:val="00E8479C"/>
    <w:rsid w:val="00E851B2"/>
    <w:rsid w:val="00E86490"/>
    <w:rsid w:val="00E91543"/>
    <w:rsid w:val="00E92821"/>
    <w:rsid w:val="00EA2F5B"/>
    <w:rsid w:val="00EA48C2"/>
    <w:rsid w:val="00EA4E60"/>
    <w:rsid w:val="00EB54C4"/>
    <w:rsid w:val="00EB5FBE"/>
    <w:rsid w:val="00EC41E7"/>
    <w:rsid w:val="00EC594E"/>
    <w:rsid w:val="00EC7176"/>
    <w:rsid w:val="00ED007A"/>
    <w:rsid w:val="00ED26BE"/>
    <w:rsid w:val="00ED5C8D"/>
    <w:rsid w:val="00EE4F38"/>
    <w:rsid w:val="00EE6F04"/>
    <w:rsid w:val="00EF2BF8"/>
    <w:rsid w:val="00EF38D7"/>
    <w:rsid w:val="00EF440D"/>
    <w:rsid w:val="00EF69AE"/>
    <w:rsid w:val="00EF7228"/>
    <w:rsid w:val="00F04187"/>
    <w:rsid w:val="00F04FCD"/>
    <w:rsid w:val="00F06548"/>
    <w:rsid w:val="00F11A18"/>
    <w:rsid w:val="00F14601"/>
    <w:rsid w:val="00F1468C"/>
    <w:rsid w:val="00F15845"/>
    <w:rsid w:val="00F219B1"/>
    <w:rsid w:val="00F27E24"/>
    <w:rsid w:val="00F3096C"/>
    <w:rsid w:val="00F352B6"/>
    <w:rsid w:val="00F35BE1"/>
    <w:rsid w:val="00F360C1"/>
    <w:rsid w:val="00F3632D"/>
    <w:rsid w:val="00F40EE1"/>
    <w:rsid w:val="00F427ED"/>
    <w:rsid w:val="00F42C75"/>
    <w:rsid w:val="00F438E5"/>
    <w:rsid w:val="00F44345"/>
    <w:rsid w:val="00F464ED"/>
    <w:rsid w:val="00F47113"/>
    <w:rsid w:val="00F51278"/>
    <w:rsid w:val="00F525B9"/>
    <w:rsid w:val="00F563AF"/>
    <w:rsid w:val="00F5667B"/>
    <w:rsid w:val="00F646CE"/>
    <w:rsid w:val="00F64ACB"/>
    <w:rsid w:val="00F659A9"/>
    <w:rsid w:val="00F66511"/>
    <w:rsid w:val="00F8583F"/>
    <w:rsid w:val="00F85DC8"/>
    <w:rsid w:val="00F86C16"/>
    <w:rsid w:val="00F877D1"/>
    <w:rsid w:val="00F90555"/>
    <w:rsid w:val="00F91422"/>
    <w:rsid w:val="00F93122"/>
    <w:rsid w:val="00F940F3"/>
    <w:rsid w:val="00F95670"/>
    <w:rsid w:val="00F96FF0"/>
    <w:rsid w:val="00FA5CD5"/>
    <w:rsid w:val="00FA74EE"/>
    <w:rsid w:val="00FB27F5"/>
    <w:rsid w:val="00FB6586"/>
    <w:rsid w:val="00FC10C1"/>
    <w:rsid w:val="00FC60A1"/>
    <w:rsid w:val="00FD1719"/>
    <w:rsid w:val="00FD4EA9"/>
    <w:rsid w:val="00FD5864"/>
    <w:rsid w:val="00FE03ED"/>
    <w:rsid w:val="00FE1A2E"/>
    <w:rsid w:val="00FE4634"/>
    <w:rsid w:val="00FF02D6"/>
    <w:rsid w:val="00FF2AEC"/>
    <w:rsid w:val="00FF3C0D"/>
    <w:rsid w:val="00FF61F7"/>
    <w:rsid w:val="00FF70C7"/>
    <w:rsid w:val="016DC81C"/>
    <w:rsid w:val="04C64ECF"/>
    <w:rsid w:val="080B18CD"/>
    <w:rsid w:val="0AD93735"/>
    <w:rsid w:val="177C6F7F"/>
    <w:rsid w:val="2385F81F"/>
    <w:rsid w:val="2AC4A1C0"/>
    <w:rsid w:val="2E2DD57F"/>
    <w:rsid w:val="2E976241"/>
    <w:rsid w:val="31C96436"/>
    <w:rsid w:val="3FB13A2D"/>
    <w:rsid w:val="446C9AC7"/>
    <w:rsid w:val="53CC5194"/>
    <w:rsid w:val="54030BCF"/>
    <w:rsid w:val="548E2BFC"/>
    <w:rsid w:val="5A8FAB54"/>
    <w:rsid w:val="5CD77D82"/>
    <w:rsid w:val="5EE4CD89"/>
    <w:rsid w:val="5FE2E224"/>
    <w:rsid w:val="625197F4"/>
    <w:rsid w:val="62C7B29E"/>
    <w:rsid w:val="6620C713"/>
    <w:rsid w:val="6751D783"/>
    <w:rsid w:val="68B01C69"/>
    <w:rsid w:val="6912F712"/>
    <w:rsid w:val="6ABAE617"/>
    <w:rsid w:val="6BC0A249"/>
    <w:rsid w:val="6CAB0D1D"/>
    <w:rsid w:val="7625BDD9"/>
    <w:rsid w:val="7D64B4C9"/>
    <w:rsid w:val="7FB29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AEF4"/>
  <w15:chartTrackingRefBased/>
  <w15:docId w15:val="{53A5BFE4-B240-4D4A-BAB8-778929CB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CDC"/>
    <w:qFormat/>
    <w:rsid w:val="00BD3FE4"/>
    <w:pPr>
      <w:spacing w:before="200" w:after="200" w:line="276" w:lineRule="auto"/>
    </w:pPr>
    <w:rPr>
      <w:rFonts w:ascii="Arial" w:hAnsi="Arial"/>
      <w:color w:val="191919" w:themeColor="text1"/>
      <w:sz w:val="22"/>
    </w:rPr>
  </w:style>
  <w:style w:type="paragraph" w:styleId="Heading1">
    <w:name w:val="heading 1"/>
    <w:basedOn w:val="Normal"/>
    <w:next w:val="Normal"/>
    <w:link w:val="Heading1Char"/>
    <w:uiPriority w:val="9"/>
    <w:qFormat/>
    <w:rsid w:val="00133F5B"/>
    <w:pPr>
      <w:keepNext/>
      <w:keepLines/>
      <w:spacing w:before="360" w:after="80"/>
      <w:outlineLvl w:val="0"/>
    </w:pPr>
    <w:rPr>
      <w:rFonts w:asciiTheme="majorHAnsi" w:eastAsiaTheme="majorEastAsia" w:hAnsiTheme="majorHAnsi" w:cstheme="majorBidi"/>
      <w:color w:val="004189" w:themeColor="accent1" w:themeShade="BF"/>
      <w:sz w:val="40"/>
      <w:szCs w:val="40"/>
    </w:rPr>
  </w:style>
  <w:style w:type="paragraph" w:styleId="Heading2">
    <w:name w:val="heading 2"/>
    <w:aliases w:val="H2 CDC"/>
    <w:basedOn w:val="Normal"/>
    <w:next w:val="Normal"/>
    <w:link w:val="Heading2Char"/>
    <w:uiPriority w:val="9"/>
    <w:unhideWhenUsed/>
    <w:qFormat/>
    <w:rsid w:val="009D4FA7"/>
    <w:pPr>
      <w:keepNext/>
      <w:keepLines/>
      <w:spacing w:before="240" w:after="80"/>
      <w:outlineLvl w:val="1"/>
    </w:pPr>
    <w:rPr>
      <w:rFonts w:eastAsiaTheme="majorEastAsia" w:cstheme="majorBidi"/>
      <w:b/>
      <w:color w:val="004050" w:themeColor="accent2" w:themeShade="80"/>
      <w:sz w:val="30"/>
      <w:szCs w:val="32"/>
    </w:rPr>
  </w:style>
  <w:style w:type="paragraph" w:styleId="Heading3">
    <w:name w:val="heading 3"/>
    <w:basedOn w:val="Normal"/>
    <w:next w:val="Normal"/>
    <w:link w:val="Heading3Char"/>
    <w:uiPriority w:val="9"/>
    <w:unhideWhenUsed/>
    <w:rsid w:val="00133F5B"/>
    <w:pPr>
      <w:keepNext/>
      <w:keepLines/>
      <w:spacing w:before="160" w:after="80"/>
      <w:outlineLvl w:val="2"/>
    </w:pPr>
    <w:rPr>
      <w:rFonts w:eastAsiaTheme="majorEastAsia" w:cstheme="majorBidi"/>
      <w:color w:val="004189" w:themeColor="accent1" w:themeShade="BF"/>
      <w:sz w:val="28"/>
      <w:szCs w:val="28"/>
    </w:rPr>
  </w:style>
  <w:style w:type="paragraph" w:styleId="Heading4">
    <w:name w:val="heading 4"/>
    <w:basedOn w:val="Normal"/>
    <w:next w:val="Normal"/>
    <w:link w:val="Heading4Char"/>
    <w:uiPriority w:val="9"/>
    <w:unhideWhenUsed/>
    <w:qFormat/>
    <w:rsid w:val="00133F5B"/>
    <w:pPr>
      <w:keepNext/>
      <w:keepLines/>
      <w:spacing w:before="80" w:after="40"/>
      <w:outlineLvl w:val="3"/>
    </w:pPr>
    <w:rPr>
      <w:rFonts w:eastAsiaTheme="majorEastAsia" w:cstheme="majorBidi"/>
      <w:i/>
      <w:iCs/>
      <w:color w:val="004189" w:themeColor="accent1" w:themeShade="BF"/>
    </w:rPr>
  </w:style>
  <w:style w:type="paragraph" w:styleId="Heading5">
    <w:name w:val="heading 5"/>
    <w:basedOn w:val="Normal"/>
    <w:next w:val="Normal"/>
    <w:link w:val="Heading5Char"/>
    <w:uiPriority w:val="9"/>
    <w:semiHidden/>
    <w:unhideWhenUsed/>
    <w:qFormat/>
    <w:rsid w:val="00133F5B"/>
    <w:pPr>
      <w:keepNext/>
      <w:keepLines/>
      <w:spacing w:before="80" w:after="40"/>
      <w:outlineLvl w:val="4"/>
    </w:pPr>
    <w:rPr>
      <w:rFonts w:eastAsiaTheme="majorEastAsia" w:cstheme="majorBidi"/>
      <w:color w:val="004189" w:themeColor="accent1" w:themeShade="BF"/>
    </w:rPr>
  </w:style>
  <w:style w:type="paragraph" w:styleId="Heading6">
    <w:name w:val="heading 6"/>
    <w:basedOn w:val="Normal"/>
    <w:next w:val="Normal"/>
    <w:link w:val="Heading6Char"/>
    <w:uiPriority w:val="9"/>
    <w:semiHidden/>
    <w:unhideWhenUsed/>
    <w:qFormat/>
    <w:rsid w:val="00133F5B"/>
    <w:pPr>
      <w:keepNext/>
      <w:keepLines/>
      <w:spacing w:before="40" w:after="0"/>
      <w:outlineLvl w:val="5"/>
    </w:pPr>
    <w:rPr>
      <w:rFonts w:eastAsiaTheme="majorEastAsia" w:cstheme="majorBidi"/>
      <w:i/>
      <w:iCs/>
      <w:color w:val="696969" w:themeColor="text1" w:themeTint="A6"/>
    </w:rPr>
  </w:style>
  <w:style w:type="paragraph" w:styleId="Heading7">
    <w:name w:val="heading 7"/>
    <w:basedOn w:val="Normal"/>
    <w:next w:val="Normal"/>
    <w:link w:val="Heading7Char"/>
    <w:uiPriority w:val="9"/>
    <w:semiHidden/>
    <w:unhideWhenUsed/>
    <w:qFormat/>
    <w:rsid w:val="00133F5B"/>
    <w:pPr>
      <w:keepNext/>
      <w:keepLines/>
      <w:spacing w:before="40" w:after="0"/>
      <w:outlineLvl w:val="6"/>
    </w:pPr>
    <w:rPr>
      <w:rFonts w:eastAsiaTheme="majorEastAsia" w:cstheme="majorBidi"/>
      <w:color w:val="696969" w:themeColor="text1" w:themeTint="A6"/>
    </w:rPr>
  </w:style>
  <w:style w:type="paragraph" w:styleId="Heading8">
    <w:name w:val="heading 8"/>
    <w:basedOn w:val="Normal"/>
    <w:next w:val="Normal"/>
    <w:link w:val="Heading8Char"/>
    <w:uiPriority w:val="9"/>
    <w:semiHidden/>
    <w:unhideWhenUsed/>
    <w:qFormat/>
    <w:rsid w:val="00133F5B"/>
    <w:pPr>
      <w:keepNext/>
      <w:keepLines/>
      <w:spacing w:after="0"/>
      <w:outlineLvl w:val="7"/>
    </w:pPr>
    <w:rPr>
      <w:rFonts w:eastAsiaTheme="majorEastAsia" w:cstheme="majorBidi"/>
      <w:i/>
      <w:iCs/>
      <w:color w:val="3C3C3C" w:themeColor="text1" w:themeTint="D8"/>
    </w:rPr>
  </w:style>
  <w:style w:type="paragraph" w:styleId="Heading9">
    <w:name w:val="heading 9"/>
    <w:basedOn w:val="Normal"/>
    <w:next w:val="Normal"/>
    <w:link w:val="Heading9Char"/>
    <w:uiPriority w:val="9"/>
    <w:semiHidden/>
    <w:unhideWhenUsed/>
    <w:qFormat/>
    <w:rsid w:val="00133F5B"/>
    <w:pPr>
      <w:keepNext/>
      <w:keepLines/>
      <w:spacing w:after="0"/>
      <w:outlineLvl w:val="8"/>
    </w:pPr>
    <w:rPr>
      <w:rFonts w:eastAsiaTheme="majorEastAsia" w:cstheme="majorBidi"/>
      <w:color w:val="3C3C3C"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F5B"/>
    <w:rPr>
      <w:rFonts w:asciiTheme="majorHAnsi" w:eastAsiaTheme="majorEastAsia" w:hAnsiTheme="majorHAnsi" w:cstheme="majorBidi"/>
      <w:color w:val="004189" w:themeColor="accent1" w:themeShade="BF"/>
      <w:sz w:val="40"/>
      <w:szCs w:val="40"/>
    </w:rPr>
  </w:style>
  <w:style w:type="character" w:customStyle="1" w:styleId="Heading2Char">
    <w:name w:val="Heading 2 Char"/>
    <w:aliases w:val="H2 CDC Char"/>
    <w:basedOn w:val="DefaultParagraphFont"/>
    <w:link w:val="Heading2"/>
    <w:uiPriority w:val="9"/>
    <w:rsid w:val="009D4FA7"/>
    <w:rPr>
      <w:rFonts w:ascii="Arial" w:eastAsiaTheme="majorEastAsia" w:hAnsi="Arial" w:cstheme="majorBidi"/>
      <w:b/>
      <w:color w:val="004050" w:themeColor="accent2" w:themeShade="80"/>
      <w:sz w:val="30"/>
      <w:szCs w:val="32"/>
    </w:rPr>
  </w:style>
  <w:style w:type="character" w:customStyle="1" w:styleId="Heading3Char">
    <w:name w:val="Heading 3 Char"/>
    <w:basedOn w:val="DefaultParagraphFont"/>
    <w:link w:val="Heading3"/>
    <w:uiPriority w:val="9"/>
    <w:rsid w:val="00133F5B"/>
    <w:rPr>
      <w:rFonts w:eastAsiaTheme="majorEastAsia" w:cstheme="majorBidi"/>
      <w:color w:val="004189" w:themeColor="accent1" w:themeShade="BF"/>
      <w:sz w:val="28"/>
      <w:szCs w:val="28"/>
    </w:rPr>
  </w:style>
  <w:style w:type="character" w:customStyle="1" w:styleId="Heading4Char">
    <w:name w:val="Heading 4 Char"/>
    <w:basedOn w:val="DefaultParagraphFont"/>
    <w:link w:val="Heading4"/>
    <w:uiPriority w:val="9"/>
    <w:rsid w:val="00133F5B"/>
    <w:rPr>
      <w:rFonts w:eastAsiaTheme="majorEastAsia" w:cstheme="majorBidi"/>
      <w:i/>
      <w:iCs/>
      <w:color w:val="004189" w:themeColor="accent1" w:themeShade="BF"/>
    </w:rPr>
  </w:style>
  <w:style w:type="character" w:customStyle="1" w:styleId="Heading5Char">
    <w:name w:val="Heading 5 Char"/>
    <w:basedOn w:val="DefaultParagraphFont"/>
    <w:link w:val="Heading5"/>
    <w:uiPriority w:val="9"/>
    <w:semiHidden/>
    <w:rsid w:val="00133F5B"/>
    <w:rPr>
      <w:rFonts w:eastAsiaTheme="majorEastAsia" w:cstheme="majorBidi"/>
      <w:color w:val="004189" w:themeColor="accent1" w:themeShade="BF"/>
    </w:rPr>
  </w:style>
  <w:style w:type="character" w:customStyle="1" w:styleId="Heading6Char">
    <w:name w:val="Heading 6 Char"/>
    <w:basedOn w:val="DefaultParagraphFont"/>
    <w:link w:val="Heading6"/>
    <w:uiPriority w:val="9"/>
    <w:semiHidden/>
    <w:rsid w:val="00133F5B"/>
    <w:rPr>
      <w:rFonts w:eastAsiaTheme="majorEastAsia" w:cstheme="majorBidi"/>
      <w:i/>
      <w:iCs/>
      <w:color w:val="696969" w:themeColor="text1" w:themeTint="A6"/>
    </w:rPr>
  </w:style>
  <w:style w:type="character" w:customStyle="1" w:styleId="Heading7Char">
    <w:name w:val="Heading 7 Char"/>
    <w:basedOn w:val="DefaultParagraphFont"/>
    <w:link w:val="Heading7"/>
    <w:uiPriority w:val="9"/>
    <w:semiHidden/>
    <w:rsid w:val="00133F5B"/>
    <w:rPr>
      <w:rFonts w:eastAsiaTheme="majorEastAsia" w:cstheme="majorBidi"/>
      <w:color w:val="696969" w:themeColor="text1" w:themeTint="A6"/>
    </w:rPr>
  </w:style>
  <w:style w:type="character" w:customStyle="1" w:styleId="Heading8Char">
    <w:name w:val="Heading 8 Char"/>
    <w:basedOn w:val="DefaultParagraphFont"/>
    <w:link w:val="Heading8"/>
    <w:uiPriority w:val="9"/>
    <w:semiHidden/>
    <w:rsid w:val="00133F5B"/>
    <w:rPr>
      <w:rFonts w:eastAsiaTheme="majorEastAsia" w:cstheme="majorBidi"/>
      <w:i/>
      <w:iCs/>
      <w:color w:val="3C3C3C" w:themeColor="text1" w:themeTint="D8"/>
    </w:rPr>
  </w:style>
  <w:style w:type="character" w:customStyle="1" w:styleId="Heading9Char">
    <w:name w:val="Heading 9 Char"/>
    <w:basedOn w:val="DefaultParagraphFont"/>
    <w:link w:val="Heading9"/>
    <w:uiPriority w:val="9"/>
    <w:semiHidden/>
    <w:rsid w:val="00133F5B"/>
    <w:rPr>
      <w:rFonts w:eastAsiaTheme="majorEastAsia" w:cstheme="majorBidi"/>
      <w:color w:val="3C3C3C" w:themeColor="text1" w:themeTint="D8"/>
    </w:rPr>
  </w:style>
  <w:style w:type="paragraph" w:styleId="Title">
    <w:name w:val="Title"/>
    <w:aliases w:val="H1 CDC VI"/>
    <w:basedOn w:val="Normal"/>
    <w:next w:val="Normal"/>
    <w:link w:val="TitleChar"/>
    <w:uiPriority w:val="10"/>
    <w:qFormat/>
    <w:rsid w:val="002B51D4"/>
    <w:pPr>
      <w:spacing w:before="80" w:after="80" w:line="240" w:lineRule="auto"/>
      <w:contextualSpacing/>
    </w:pPr>
    <w:rPr>
      <w:rFonts w:eastAsiaTheme="majorEastAsia" w:cstheme="majorBidi"/>
      <w:b/>
      <w:color w:val="032659" w:themeColor="text2"/>
      <w:spacing w:val="-10"/>
      <w:kern w:val="28"/>
      <w:sz w:val="56"/>
      <w:szCs w:val="56"/>
    </w:rPr>
  </w:style>
  <w:style w:type="character" w:customStyle="1" w:styleId="TitleChar">
    <w:name w:val="Title Char"/>
    <w:aliases w:val="H1 CDC VI Char"/>
    <w:basedOn w:val="DefaultParagraphFont"/>
    <w:link w:val="Title"/>
    <w:uiPriority w:val="10"/>
    <w:rsid w:val="002B51D4"/>
    <w:rPr>
      <w:rFonts w:ascii="Arial" w:eastAsiaTheme="majorEastAsia" w:hAnsi="Arial" w:cstheme="majorBidi"/>
      <w:b/>
      <w:color w:val="032659" w:themeColor="text2"/>
      <w:spacing w:val="-10"/>
      <w:kern w:val="28"/>
      <w:sz w:val="56"/>
      <w:szCs w:val="56"/>
    </w:rPr>
  </w:style>
  <w:style w:type="paragraph" w:styleId="Subtitle">
    <w:name w:val="Subtitle"/>
    <w:aliases w:val="Subtitle CDC VI"/>
    <w:basedOn w:val="Normal"/>
    <w:next w:val="Normal"/>
    <w:link w:val="SubtitleChar"/>
    <w:uiPriority w:val="11"/>
    <w:qFormat/>
    <w:rsid w:val="007E631C"/>
    <w:pPr>
      <w:numPr>
        <w:ilvl w:val="1"/>
      </w:numPr>
      <w:spacing w:before="80"/>
    </w:pPr>
    <w:rPr>
      <w:rFonts w:eastAsiaTheme="majorEastAsia" w:cstheme="majorBidi"/>
      <w:color w:val="0057B7" w:themeColor="accent1"/>
      <w:spacing w:val="15"/>
      <w:sz w:val="46"/>
      <w:szCs w:val="28"/>
    </w:rPr>
  </w:style>
  <w:style w:type="character" w:customStyle="1" w:styleId="SubtitleChar">
    <w:name w:val="Subtitle Char"/>
    <w:aliases w:val="Subtitle CDC VI Char"/>
    <w:basedOn w:val="DefaultParagraphFont"/>
    <w:link w:val="Subtitle"/>
    <w:uiPriority w:val="11"/>
    <w:rsid w:val="007E631C"/>
    <w:rPr>
      <w:rFonts w:ascii="Arial" w:eastAsiaTheme="majorEastAsia" w:hAnsi="Arial" w:cstheme="majorBidi"/>
      <w:color w:val="0057B7" w:themeColor="accent1"/>
      <w:spacing w:val="15"/>
      <w:sz w:val="46"/>
      <w:szCs w:val="28"/>
    </w:rPr>
  </w:style>
  <w:style w:type="paragraph" w:styleId="Quote">
    <w:name w:val="Quote"/>
    <w:basedOn w:val="Normal"/>
    <w:next w:val="Normal"/>
    <w:link w:val="QuoteChar"/>
    <w:uiPriority w:val="29"/>
    <w:qFormat/>
    <w:rsid w:val="00C03D98"/>
    <w:pPr>
      <w:spacing w:before="160"/>
      <w:jc w:val="center"/>
    </w:pPr>
    <w:rPr>
      <w:i/>
      <w:iCs/>
      <w:color w:val="0057B7" w:themeColor="accent1"/>
      <w:sz w:val="30"/>
    </w:rPr>
  </w:style>
  <w:style w:type="character" w:customStyle="1" w:styleId="QuoteChar">
    <w:name w:val="Quote Char"/>
    <w:basedOn w:val="DefaultParagraphFont"/>
    <w:link w:val="Quote"/>
    <w:uiPriority w:val="29"/>
    <w:rsid w:val="00C03D98"/>
    <w:rPr>
      <w:rFonts w:ascii="Arial" w:hAnsi="Arial"/>
      <w:i/>
      <w:iCs/>
      <w:color w:val="0057B7" w:themeColor="accent1"/>
      <w:sz w:val="30"/>
    </w:rPr>
  </w:style>
  <w:style w:type="paragraph" w:styleId="ListParagraph">
    <w:name w:val="List Paragraph"/>
    <w:aliases w:val="1st Bullets CDC"/>
    <w:link w:val="ListParagraphChar"/>
    <w:uiPriority w:val="34"/>
    <w:qFormat/>
    <w:rsid w:val="007B7B17"/>
    <w:pPr>
      <w:contextualSpacing/>
    </w:pPr>
    <w:rPr>
      <w:rFonts w:ascii="Arial" w:hAnsi="Arial"/>
      <w:color w:val="191919" w:themeColor="text1"/>
      <w:sz w:val="22"/>
    </w:rPr>
  </w:style>
  <w:style w:type="character" w:styleId="IntenseEmphasis">
    <w:name w:val="Intense Emphasis"/>
    <w:basedOn w:val="DefaultParagraphFont"/>
    <w:uiPriority w:val="21"/>
    <w:qFormat/>
    <w:rsid w:val="00133F5B"/>
    <w:rPr>
      <w:i/>
      <w:iCs/>
      <w:color w:val="004189" w:themeColor="accent1" w:themeShade="BF"/>
    </w:rPr>
  </w:style>
  <w:style w:type="paragraph" w:styleId="IntenseQuote">
    <w:name w:val="Intense Quote"/>
    <w:basedOn w:val="Normal"/>
    <w:next w:val="Normal"/>
    <w:link w:val="IntenseQuoteChar"/>
    <w:uiPriority w:val="30"/>
    <w:qFormat/>
    <w:rsid w:val="00C03D98"/>
    <w:pPr>
      <w:spacing w:before="360" w:after="360"/>
      <w:ind w:left="864" w:right="864"/>
      <w:jc w:val="center"/>
    </w:pPr>
    <w:rPr>
      <w:b/>
      <w:i/>
      <w:iCs/>
      <w:color w:val="004189" w:themeColor="accent1" w:themeShade="BF"/>
      <w:sz w:val="30"/>
    </w:rPr>
  </w:style>
  <w:style w:type="character" w:customStyle="1" w:styleId="IntenseQuoteChar">
    <w:name w:val="Intense Quote Char"/>
    <w:basedOn w:val="DefaultParagraphFont"/>
    <w:link w:val="IntenseQuote"/>
    <w:uiPriority w:val="30"/>
    <w:rsid w:val="00C03D98"/>
    <w:rPr>
      <w:rFonts w:ascii="Arial" w:hAnsi="Arial"/>
      <w:b/>
      <w:i/>
      <w:iCs/>
      <w:color w:val="004189" w:themeColor="accent1" w:themeShade="BF"/>
      <w:sz w:val="30"/>
    </w:rPr>
  </w:style>
  <w:style w:type="character" w:styleId="IntenseReference">
    <w:name w:val="Intense Reference"/>
    <w:basedOn w:val="DefaultParagraphFont"/>
    <w:uiPriority w:val="32"/>
    <w:qFormat/>
    <w:rsid w:val="00133F5B"/>
    <w:rPr>
      <w:b/>
      <w:bCs/>
      <w:smallCaps/>
      <w:color w:val="004189" w:themeColor="accent1" w:themeShade="BF"/>
      <w:spacing w:val="5"/>
    </w:rPr>
  </w:style>
  <w:style w:type="character" w:styleId="SubtleEmphasis">
    <w:name w:val="Subtle Emphasis"/>
    <w:basedOn w:val="DefaultParagraphFont"/>
    <w:uiPriority w:val="19"/>
    <w:qFormat/>
    <w:rsid w:val="00C03D98"/>
    <w:rPr>
      <w:rFonts w:ascii="Arial" w:hAnsi="Arial"/>
      <w:i/>
      <w:iCs/>
      <w:color w:val="032659" w:themeColor="text2"/>
      <w:sz w:val="36"/>
    </w:rPr>
  </w:style>
  <w:style w:type="character" w:styleId="Emphasis">
    <w:name w:val="Emphasis"/>
    <w:basedOn w:val="DefaultParagraphFont"/>
    <w:uiPriority w:val="20"/>
    <w:qFormat/>
    <w:rsid w:val="001B4F4B"/>
    <w:rPr>
      <w:rFonts w:ascii="Arial" w:hAnsi="Arial"/>
      <w:b/>
      <w:i w:val="0"/>
      <w:iCs/>
      <w:color w:val="0057B7" w:themeColor="accent1"/>
      <w:sz w:val="32"/>
    </w:rPr>
  </w:style>
  <w:style w:type="character" w:styleId="Strong">
    <w:name w:val="Strong"/>
    <w:basedOn w:val="DefaultParagraphFont"/>
    <w:uiPriority w:val="22"/>
    <w:qFormat/>
    <w:rsid w:val="00C03D98"/>
    <w:rPr>
      <w:rFonts w:ascii="Arial" w:hAnsi="Arial"/>
      <w:b/>
      <w:bCs/>
    </w:rPr>
  </w:style>
  <w:style w:type="character" w:styleId="SubtleReference">
    <w:name w:val="Subtle Reference"/>
    <w:basedOn w:val="DefaultParagraphFont"/>
    <w:uiPriority w:val="31"/>
    <w:qFormat/>
    <w:rsid w:val="00C03D98"/>
    <w:rPr>
      <w:rFonts w:ascii="Arial" w:hAnsi="Arial"/>
      <w:caps w:val="0"/>
      <w:smallCaps w:val="0"/>
      <w:strike w:val="0"/>
      <w:dstrike w:val="0"/>
      <w:vanish w:val="0"/>
      <w:color w:val="191919" w:themeColor="text1"/>
      <w:sz w:val="18"/>
      <w:vertAlign w:val="baseline"/>
    </w:rPr>
  </w:style>
  <w:style w:type="paragraph" w:styleId="Header">
    <w:name w:val="header"/>
    <w:basedOn w:val="Normal"/>
    <w:link w:val="HeaderChar"/>
    <w:uiPriority w:val="99"/>
    <w:unhideWhenUsed/>
    <w:rsid w:val="001B4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F4B"/>
    <w:rPr>
      <w:rFonts w:ascii="Arial" w:hAnsi="Arial"/>
      <w:color w:val="191919" w:themeColor="text1"/>
      <w:sz w:val="22"/>
    </w:rPr>
  </w:style>
  <w:style w:type="paragraph" w:styleId="Footer">
    <w:name w:val="footer"/>
    <w:basedOn w:val="Normal"/>
    <w:link w:val="FooterChar"/>
    <w:uiPriority w:val="99"/>
    <w:unhideWhenUsed/>
    <w:rsid w:val="001B4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F4B"/>
    <w:rPr>
      <w:rFonts w:ascii="Arial" w:hAnsi="Arial"/>
      <w:color w:val="191919" w:themeColor="text1"/>
      <w:sz w:val="22"/>
    </w:rPr>
  </w:style>
  <w:style w:type="paragraph" w:customStyle="1" w:styleId="H3CDCVI">
    <w:name w:val="H3 CDC VI"/>
    <w:basedOn w:val="Subtitle"/>
    <w:qFormat/>
    <w:rsid w:val="00B92168"/>
    <w:rPr>
      <w:sz w:val="36"/>
    </w:rPr>
  </w:style>
  <w:style w:type="numbering" w:customStyle="1" w:styleId="SecondLevelbulletCDC">
    <w:name w:val="Second Level bullet CDC"/>
    <w:uiPriority w:val="99"/>
    <w:rsid w:val="00CA1E88"/>
    <w:pPr>
      <w:numPr>
        <w:numId w:val="3"/>
      </w:numPr>
    </w:pPr>
  </w:style>
  <w:style w:type="paragraph" w:customStyle="1" w:styleId="Bullet2ndlevelCDC">
    <w:name w:val="Bullet 2nd level CDC"/>
    <w:basedOn w:val="ListParagraph"/>
    <w:qFormat/>
    <w:rsid w:val="00CA1E88"/>
    <w:pPr>
      <w:numPr>
        <w:numId w:val="4"/>
      </w:numPr>
      <w:ind w:left="1080" w:right="-720"/>
    </w:pPr>
  </w:style>
  <w:style w:type="character" w:customStyle="1" w:styleId="ListParagraphChar">
    <w:name w:val="List Paragraph Char"/>
    <w:aliases w:val="1st Bullets CDC Char"/>
    <w:basedOn w:val="DefaultParagraphFont"/>
    <w:link w:val="ListParagraph"/>
    <w:uiPriority w:val="34"/>
    <w:rsid w:val="004C4837"/>
    <w:rPr>
      <w:rFonts w:ascii="Arial" w:hAnsi="Arial"/>
      <w:color w:val="191919" w:themeColor="text1"/>
      <w:sz w:val="22"/>
    </w:rPr>
  </w:style>
  <w:style w:type="paragraph" w:customStyle="1" w:styleId="NumbersCDC">
    <w:name w:val="Numbers CDC"/>
    <w:qFormat/>
    <w:rsid w:val="00A30556"/>
    <w:pPr>
      <w:numPr>
        <w:numId w:val="7"/>
      </w:numPr>
      <w:ind w:left="504"/>
    </w:pPr>
    <w:rPr>
      <w:rFonts w:ascii="Arial" w:hAnsi="Arial"/>
      <w:color w:val="191919" w:themeColor="text1"/>
      <w:sz w:val="22"/>
    </w:rPr>
  </w:style>
  <w:style w:type="paragraph" w:customStyle="1" w:styleId="Heading3H3CDC">
    <w:name w:val="Heading 3 (H3) CDC"/>
    <w:basedOn w:val="Heading2"/>
    <w:qFormat/>
    <w:rsid w:val="009D4FA7"/>
    <w:pPr>
      <w:ind w:left="3960"/>
    </w:pPr>
    <w:rPr>
      <w:color w:val="0081A1" w:themeColor="accent2"/>
      <w:sz w:val="26"/>
      <w:szCs w:val="26"/>
    </w:rPr>
  </w:style>
  <w:style w:type="character" w:styleId="PlaceholderText">
    <w:name w:val="Placeholder Text"/>
    <w:basedOn w:val="DefaultParagraphFont"/>
    <w:uiPriority w:val="99"/>
    <w:semiHidden/>
    <w:rsid w:val="00D60D59"/>
    <w:rPr>
      <w:color w:val="666666"/>
    </w:rPr>
  </w:style>
  <w:style w:type="paragraph" w:customStyle="1" w:styleId="IntroTitleCDC">
    <w:name w:val="Intro Title CDC"/>
    <w:qFormat/>
    <w:rsid w:val="002B51D4"/>
    <w:rPr>
      <w:rFonts w:ascii="Arial" w:eastAsiaTheme="majorEastAsia" w:hAnsi="Arial" w:cstheme="majorBidi"/>
      <w:caps/>
      <w:color w:val="FFB24D" w:themeColor="accent4"/>
      <w:spacing w:val="15"/>
      <w:sz w:val="28"/>
      <w:szCs w:val="28"/>
    </w:rPr>
  </w:style>
  <w:style w:type="paragraph" w:customStyle="1" w:styleId="TextboxtitleCDC">
    <w:name w:val="Text box title CDC"/>
    <w:qFormat/>
    <w:rsid w:val="00D17F46"/>
    <w:pPr>
      <w:jc w:val="center"/>
    </w:pPr>
    <w:rPr>
      <w:rFonts w:ascii="Arial" w:hAnsi="Arial"/>
      <w:b/>
      <w:bCs/>
      <w:color w:val="FFFFFF" w:themeColor="background1"/>
      <w:sz w:val="28"/>
    </w:rPr>
  </w:style>
  <w:style w:type="paragraph" w:customStyle="1" w:styleId="BodyParagraphCDC">
    <w:name w:val="Body Paragraph CDC"/>
    <w:basedOn w:val="Normal"/>
    <w:qFormat/>
    <w:rsid w:val="00C47CB2"/>
    <w:pPr>
      <w:spacing w:before="0" w:after="120"/>
    </w:pPr>
  </w:style>
  <w:style w:type="paragraph" w:customStyle="1" w:styleId="Heading4CDC">
    <w:name w:val="Heading 4 CDC"/>
    <w:basedOn w:val="Normal"/>
    <w:qFormat/>
    <w:rsid w:val="00C47CB2"/>
    <w:pPr>
      <w:keepNext/>
      <w:keepLines/>
      <w:spacing w:before="80" w:after="40"/>
      <w:outlineLvl w:val="3"/>
    </w:pPr>
    <w:rPr>
      <w:rFonts w:eastAsiaTheme="majorEastAsia" w:cstheme="majorBidi"/>
      <w:b/>
      <w:iCs/>
      <w:color w:val="004189" w:themeColor="accent1" w:themeShade="BF"/>
      <w:sz w:val="26"/>
    </w:rPr>
  </w:style>
  <w:style w:type="paragraph" w:customStyle="1" w:styleId="BulletsCDC">
    <w:name w:val="Bullets CDC"/>
    <w:basedOn w:val="Bullet2ndlevelCDC"/>
    <w:qFormat/>
    <w:rsid w:val="00C47CB2"/>
    <w:pPr>
      <w:numPr>
        <w:numId w:val="8"/>
      </w:numPr>
    </w:pPr>
  </w:style>
  <w:style w:type="paragraph" w:customStyle="1" w:styleId="BodyParagraph">
    <w:name w:val="Body Paragraph"/>
    <w:next w:val="Normal"/>
    <w:autoRedefine/>
    <w:qFormat/>
    <w:rsid w:val="00BD3FE4"/>
    <w:pPr>
      <w:widowControl w:val="0"/>
      <w:autoSpaceDE w:val="0"/>
      <w:autoSpaceDN w:val="0"/>
      <w:spacing w:before="200" w:after="200" w:line="240" w:lineRule="auto"/>
    </w:pPr>
    <w:rPr>
      <w:rFonts w:ascii="Arial" w:eastAsia="Arial" w:hAnsi="Arial" w:cs="Arial"/>
      <w:kern w:val="0"/>
      <w:sz w:val="22"/>
      <w:szCs w:val="20"/>
      <w14:ligatures w14:val="none"/>
    </w:rPr>
  </w:style>
  <w:style w:type="character" w:styleId="Hyperlink">
    <w:name w:val="Hyperlink"/>
    <w:basedOn w:val="DefaultParagraphFont"/>
    <w:uiPriority w:val="99"/>
    <w:unhideWhenUsed/>
    <w:rsid w:val="00244C63"/>
    <w:rPr>
      <w:color w:val="3382B7" w:themeColor="hyperlink"/>
      <w:u w:val="single"/>
    </w:rPr>
  </w:style>
  <w:style w:type="character" w:styleId="UnresolvedMention">
    <w:name w:val="Unresolved Mention"/>
    <w:basedOn w:val="DefaultParagraphFont"/>
    <w:uiPriority w:val="99"/>
    <w:semiHidden/>
    <w:unhideWhenUsed/>
    <w:rsid w:val="004017FB"/>
    <w:rPr>
      <w:color w:val="605E5C"/>
      <w:shd w:val="clear" w:color="auto" w:fill="E1DFDD"/>
    </w:rPr>
  </w:style>
  <w:style w:type="character" w:styleId="CommentReference">
    <w:name w:val="annotation reference"/>
    <w:basedOn w:val="DefaultParagraphFont"/>
    <w:uiPriority w:val="99"/>
    <w:semiHidden/>
    <w:unhideWhenUsed/>
    <w:rsid w:val="00C0331E"/>
    <w:rPr>
      <w:sz w:val="16"/>
      <w:szCs w:val="16"/>
    </w:rPr>
  </w:style>
  <w:style w:type="paragraph" w:styleId="CommentText">
    <w:name w:val="annotation text"/>
    <w:basedOn w:val="Normal"/>
    <w:link w:val="CommentTextChar"/>
    <w:uiPriority w:val="99"/>
    <w:unhideWhenUsed/>
    <w:rsid w:val="00C0331E"/>
    <w:pPr>
      <w:spacing w:line="240" w:lineRule="auto"/>
    </w:pPr>
    <w:rPr>
      <w:sz w:val="20"/>
      <w:szCs w:val="20"/>
    </w:rPr>
  </w:style>
  <w:style w:type="character" w:customStyle="1" w:styleId="CommentTextChar">
    <w:name w:val="Comment Text Char"/>
    <w:basedOn w:val="DefaultParagraphFont"/>
    <w:link w:val="CommentText"/>
    <w:uiPriority w:val="99"/>
    <w:rsid w:val="00C0331E"/>
    <w:rPr>
      <w:rFonts w:ascii="Arial" w:hAnsi="Arial"/>
      <w:color w:val="191919" w:themeColor="text1"/>
      <w:sz w:val="20"/>
      <w:szCs w:val="20"/>
    </w:rPr>
  </w:style>
  <w:style w:type="paragraph" w:styleId="Revision">
    <w:name w:val="Revision"/>
    <w:hidden/>
    <w:uiPriority w:val="99"/>
    <w:semiHidden/>
    <w:rsid w:val="00CC78DE"/>
    <w:pPr>
      <w:spacing w:after="0" w:line="240" w:lineRule="auto"/>
    </w:pPr>
    <w:rPr>
      <w:rFonts w:ascii="Arial" w:hAnsi="Arial"/>
      <w:color w:val="191919" w:themeColor="text1"/>
      <w:sz w:val="22"/>
    </w:rPr>
  </w:style>
  <w:style w:type="character" w:styleId="FollowedHyperlink">
    <w:name w:val="FollowedHyperlink"/>
    <w:basedOn w:val="DefaultParagraphFont"/>
    <w:uiPriority w:val="99"/>
    <w:semiHidden/>
    <w:unhideWhenUsed/>
    <w:rsid w:val="00F11A18"/>
    <w:rPr>
      <w:color w:val="722161" w:themeColor="followedHyperlink"/>
      <w:u w:val="single"/>
    </w:rPr>
  </w:style>
  <w:style w:type="paragraph" w:styleId="CommentSubject">
    <w:name w:val="annotation subject"/>
    <w:basedOn w:val="CommentText"/>
    <w:next w:val="CommentText"/>
    <w:link w:val="CommentSubjectChar"/>
    <w:uiPriority w:val="99"/>
    <w:semiHidden/>
    <w:unhideWhenUsed/>
    <w:rsid w:val="000618A5"/>
    <w:rPr>
      <w:b/>
      <w:bCs/>
    </w:rPr>
  </w:style>
  <w:style w:type="character" w:customStyle="1" w:styleId="CommentSubjectChar">
    <w:name w:val="Comment Subject Char"/>
    <w:basedOn w:val="CommentTextChar"/>
    <w:link w:val="CommentSubject"/>
    <w:uiPriority w:val="99"/>
    <w:semiHidden/>
    <w:rsid w:val="000618A5"/>
    <w:rPr>
      <w:rFonts w:ascii="Arial" w:hAnsi="Arial"/>
      <w:b/>
      <w:bCs/>
      <w:color w:val="191919" w:themeColor="text1"/>
      <w:sz w:val="20"/>
      <w:szCs w:val="20"/>
    </w:rPr>
  </w:style>
  <w:style w:type="table" w:styleId="TableGrid">
    <w:name w:val="Table Grid"/>
    <w:basedOn w:val="TableNormal"/>
    <w:uiPriority w:val="59"/>
    <w:rsid w:val="00B45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2F81"/>
    <w:pPr>
      <w:spacing w:after="0" w:line="240" w:lineRule="auto"/>
    </w:pPr>
    <w:rPr>
      <w:kern w:val="0"/>
      <w:sz w:val="22"/>
      <w:szCs w:val="22"/>
      <w14:ligatures w14:val="none"/>
    </w:rPr>
  </w:style>
  <w:style w:type="table" w:styleId="ListTable4-Accent1">
    <w:name w:val="List Table 4 Accent 1"/>
    <w:basedOn w:val="TableNormal"/>
    <w:uiPriority w:val="49"/>
    <w:rsid w:val="00B81201"/>
    <w:pPr>
      <w:spacing w:after="0" w:line="240" w:lineRule="auto"/>
    </w:pPr>
    <w:rPr>
      <w:kern w:val="0"/>
      <w:sz w:val="22"/>
      <w:szCs w:val="22"/>
      <w14:ligatures w14:val="none"/>
    </w:rPr>
    <w:tblPr>
      <w:tblStyleRowBandSize w:val="1"/>
      <w:tblStyleColBandSize w:val="1"/>
      <w:tblBorders>
        <w:top w:val="single" w:sz="4" w:space="0" w:color="3A97FF" w:themeColor="accent1" w:themeTint="99"/>
        <w:left w:val="single" w:sz="4" w:space="0" w:color="3A97FF" w:themeColor="accent1" w:themeTint="99"/>
        <w:bottom w:val="single" w:sz="4" w:space="0" w:color="3A97FF" w:themeColor="accent1" w:themeTint="99"/>
        <w:right w:val="single" w:sz="4" w:space="0" w:color="3A97FF" w:themeColor="accent1" w:themeTint="99"/>
        <w:insideH w:val="single" w:sz="4" w:space="0" w:color="3A97FF" w:themeColor="accent1" w:themeTint="99"/>
      </w:tblBorders>
    </w:tblPr>
    <w:tblStylePr w:type="firstRow">
      <w:rPr>
        <w:b/>
        <w:bCs/>
        <w:color w:val="FFFFFF" w:themeColor="background1"/>
      </w:rPr>
      <w:tblPr/>
      <w:tcPr>
        <w:tcBorders>
          <w:top w:val="single" w:sz="4" w:space="0" w:color="0057B7" w:themeColor="accent1"/>
          <w:left w:val="single" w:sz="4" w:space="0" w:color="0057B7" w:themeColor="accent1"/>
          <w:bottom w:val="single" w:sz="4" w:space="0" w:color="0057B7" w:themeColor="accent1"/>
          <w:right w:val="single" w:sz="4" w:space="0" w:color="0057B7" w:themeColor="accent1"/>
          <w:insideH w:val="nil"/>
        </w:tcBorders>
        <w:shd w:val="clear" w:color="auto" w:fill="0057B7" w:themeFill="accent1"/>
      </w:tcPr>
    </w:tblStylePr>
    <w:tblStylePr w:type="lastRow">
      <w:rPr>
        <w:b/>
        <w:bCs/>
      </w:rPr>
      <w:tblPr/>
      <w:tcPr>
        <w:tcBorders>
          <w:top w:val="double" w:sz="4" w:space="0" w:color="3A97FF" w:themeColor="accent1" w:themeTint="99"/>
        </w:tcBorders>
      </w:tcPr>
    </w:tblStylePr>
    <w:tblStylePr w:type="firstCol">
      <w:rPr>
        <w:b/>
        <w:bCs/>
      </w:rPr>
    </w:tblStylePr>
    <w:tblStylePr w:type="lastCol">
      <w:rPr>
        <w:b/>
        <w:bCs/>
      </w:rPr>
    </w:tblStylePr>
    <w:tblStylePr w:type="band1Vert">
      <w:tblPr/>
      <w:tcPr>
        <w:shd w:val="clear" w:color="auto" w:fill="BDDCFF" w:themeFill="accent1" w:themeFillTint="33"/>
      </w:tcPr>
    </w:tblStylePr>
    <w:tblStylePr w:type="band1Horz">
      <w:tblPr/>
      <w:tcPr>
        <w:shd w:val="clear" w:color="auto" w:fill="BDDCFF" w:themeFill="accent1" w:themeFillTint="33"/>
      </w:tcPr>
    </w:tblStylePr>
  </w:style>
  <w:style w:type="character" w:customStyle="1" w:styleId="cf01">
    <w:name w:val="cf01"/>
    <w:basedOn w:val="DefaultParagraphFont"/>
    <w:rsid w:val="008F3753"/>
    <w:rPr>
      <w:rFonts w:ascii="Segoe UI" w:hAnsi="Segoe UI" w:cs="Segoe UI" w:hint="default"/>
      <w:color w:val="191919"/>
      <w:sz w:val="24"/>
      <w:szCs w:val="24"/>
    </w:rPr>
  </w:style>
  <w:style w:type="paragraph" w:customStyle="1" w:styleId="Default">
    <w:name w:val="Default"/>
    <w:rsid w:val="006E60F6"/>
    <w:pPr>
      <w:autoSpaceDE w:val="0"/>
      <w:autoSpaceDN w:val="0"/>
      <w:adjustRightInd w:val="0"/>
      <w:spacing w:after="0" w:line="240" w:lineRule="auto"/>
    </w:pPr>
    <w:rPr>
      <w:rFonts w:ascii="Calibri" w:hAnsi="Calibri" w:cs="Calibri"/>
      <w:color w:val="000000"/>
      <w:kern w:val="0"/>
    </w:rPr>
  </w:style>
  <w:style w:type="character" w:styleId="Mention">
    <w:name w:val="Mention"/>
    <w:basedOn w:val="DefaultParagraphFont"/>
    <w:uiPriority w:val="99"/>
    <w:unhideWhenUsed/>
    <w:rsid w:val="00B617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507484">
      <w:bodyDiv w:val="1"/>
      <w:marLeft w:val="0"/>
      <w:marRight w:val="0"/>
      <w:marTop w:val="0"/>
      <w:marBottom w:val="0"/>
      <w:divBdr>
        <w:top w:val="none" w:sz="0" w:space="0" w:color="auto"/>
        <w:left w:val="none" w:sz="0" w:space="0" w:color="auto"/>
        <w:bottom w:val="none" w:sz="0" w:space="0" w:color="auto"/>
        <w:right w:val="none" w:sz="0" w:space="0" w:color="auto"/>
      </w:divBdr>
    </w:div>
    <w:div w:id="981467868">
      <w:bodyDiv w:val="1"/>
      <w:marLeft w:val="0"/>
      <w:marRight w:val="0"/>
      <w:marTop w:val="0"/>
      <w:marBottom w:val="0"/>
      <w:divBdr>
        <w:top w:val="none" w:sz="0" w:space="0" w:color="auto"/>
        <w:left w:val="none" w:sz="0" w:space="0" w:color="auto"/>
        <w:bottom w:val="none" w:sz="0" w:space="0" w:color="auto"/>
        <w:right w:val="none" w:sz="0" w:space="0" w:color="auto"/>
      </w:divBdr>
    </w:div>
    <w:div w:id="1002471026">
      <w:bodyDiv w:val="1"/>
      <w:marLeft w:val="0"/>
      <w:marRight w:val="0"/>
      <w:marTop w:val="0"/>
      <w:marBottom w:val="0"/>
      <w:divBdr>
        <w:top w:val="none" w:sz="0" w:space="0" w:color="auto"/>
        <w:left w:val="none" w:sz="0" w:space="0" w:color="auto"/>
        <w:bottom w:val="none" w:sz="0" w:space="0" w:color="auto"/>
        <w:right w:val="none" w:sz="0" w:space="0" w:color="auto"/>
      </w:divBdr>
    </w:div>
    <w:div w:id="1350984910">
      <w:bodyDiv w:val="1"/>
      <w:marLeft w:val="0"/>
      <w:marRight w:val="0"/>
      <w:marTop w:val="0"/>
      <w:marBottom w:val="0"/>
      <w:divBdr>
        <w:top w:val="none" w:sz="0" w:space="0" w:color="auto"/>
        <w:left w:val="none" w:sz="0" w:space="0" w:color="auto"/>
        <w:bottom w:val="none" w:sz="0" w:space="0" w:color="auto"/>
        <w:right w:val="none" w:sz="0" w:space="0" w:color="auto"/>
      </w:divBdr>
    </w:div>
    <w:div w:id="1578441710">
      <w:bodyDiv w:val="1"/>
      <w:marLeft w:val="0"/>
      <w:marRight w:val="0"/>
      <w:marTop w:val="0"/>
      <w:marBottom w:val="0"/>
      <w:divBdr>
        <w:top w:val="none" w:sz="0" w:space="0" w:color="auto"/>
        <w:left w:val="none" w:sz="0" w:space="0" w:color="auto"/>
        <w:bottom w:val="none" w:sz="0" w:space="0" w:color="auto"/>
        <w:right w:val="none" w:sz="0" w:space="0" w:color="auto"/>
      </w:divBdr>
    </w:div>
    <w:div w:id="2069377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nhsn/pdfs/ps-analysis-resources/aur/annual-au-data-validation-508.pdf" TargetMode="External"/><Relationship Id="rId18" Type="http://schemas.openxmlformats.org/officeDocument/2006/relationships/hyperlink" Target="https://www.cdc.gov/nhsn/pdfs/ps-analysis-resources/aur/au-dataquality-linelist-508.pdf" TargetMode="External"/><Relationship Id="rId26" Type="http://schemas.openxmlformats.org/officeDocument/2006/relationships/hyperlink" Target="https://www.cdc.gov/nhsn/cdaportal/sds/index.html" TargetMode="External"/><Relationship Id="rId39" Type="http://schemas.openxmlformats.org/officeDocument/2006/relationships/hyperlink" Target="https://www.cdc.gov/nhsn/pdfs/ps-analysis-resources/aur/AU-QRG-LineList.pdf" TargetMode="External"/><Relationship Id="rId21" Type="http://schemas.openxmlformats.org/officeDocument/2006/relationships/hyperlink" Target="https://www.cdc.gov/nhsn/pdfs/ps-analysis-resources/aur/AU-QRG-LineList.pdf" TargetMode="External"/><Relationship Id="rId34" Type="http://schemas.openxmlformats.org/officeDocument/2006/relationships/hyperlink" Target="https://www.cdc.gov/nhsn/pdfs/ps-analysis-resources/aur/annual-au-data-validation-508.pdf" TargetMode="External"/><Relationship Id="rId42" Type="http://schemas.openxmlformats.org/officeDocument/2006/relationships/hyperlink" Target="https://www.cdc.gov/nhsn/pdfs/ps-analysis-resources/aur/ar-qrg-denom-linelist-508.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dc.gov/nhsn/pdfs/ps-analysis-resources/howtomodifyreport.pdf" TargetMode="External"/><Relationship Id="rId29" Type="http://schemas.openxmlformats.org/officeDocument/2006/relationships/hyperlink" Target="https://www.cdc.gov/nhsn/pdfs/pscmanual/11pscaurcurren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nhsn/pdfs/pscmanual/11pscaurcurrent.pdf" TargetMode="External"/><Relationship Id="rId24" Type="http://schemas.openxmlformats.org/officeDocument/2006/relationships/hyperlink" Target="https://www.cdc.gov/nhsn/pdfs/pscmanual/15locationsdescriptions_current.pdf" TargetMode="External"/><Relationship Id="rId32" Type="http://schemas.openxmlformats.org/officeDocument/2006/relationships/hyperlink" Target="https://www.cdc.gov/nhsn/pdfs/pscmanual/11pscaurcurrent.pdf" TargetMode="External"/><Relationship Id="rId37" Type="http://schemas.openxmlformats.org/officeDocument/2006/relationships/hyperlink" Target="https://www.cdc.gov/nhsn/pdfs/ps-analysis-resources/howtomodifyreport.pdf" TargetMode="External"/><Relationship Id="rId40" Type="http://schemas.openxmlformats.org/officeDocument/2006/relationships/hyperlink" Target="https://www.cdc.gov/nhsn/pdfs/pscmanual/15locationsdescriptions_current.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dc.gov/nhsn/pdfs/ps-analysis-resources/generatedatasets-psc-508.pdf" TargetMode="External"/><Relationship Id="rId23" Type="http://schemas.openxmlformats.org/officeDocument/2006/relationships/image" Target="media/image2.JPG"/><Relationship Id="rId28" Type="http://schemas.openxmlformats.org/officeDocument/2006/relationships/hyperlink" Target="https://www.cdc.gov/nhsn/pdfs/ps-analysis-resources/aur/au-qrg-linelist.pdf" TargetMode="External"/><Relationship Id="rId36" Type="http://schemas.openxmlformats.org/officeDocument/2006/relationships/hyperlink" Target="https://www.cdc.gov/nhsn/pdfs/ps-analysis-resources/generatedatasets-psc-508.pdf" TargetMode="Externa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https://www.cdc.gov/nhsn/pdfs/ps-analysis-resources/aur/ar-qrg-denom-linelist-508.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nhsn/pdfs/ps-analysis-resources/aur/ar-validation-508.pdf" TargetMode="External"/><Relationship Id="rId22" Type="http://schemas.openxmlformats.org/officeDocument/2006/relationships/hyperlink" Target="https://www.cdc.gov/nhsn/pdfs/ps-analysis-resources/aur/AU-QRG-LineList.pdf" TargetMode="External"/><Relationship Id="rId27" Type="http://schemas.openxmlformats.org/officeDocument/2006/relationships/hyperlink" Target="https://www.cdc.gov/nhsn/pdfs/ps-analysis-resources/generatedatasets-psc-508.pdf" TargetMode="External"/><Relationship Id="rId30" Type="http://schemas.openxmlformats.org/officeDocument/2006/relationships/hyperlink" Target="https://www.cdc.gov/nhsn/pdfs/pscmanual/11pscaurcurrent.pdf" TargetMode="External"/><Relationship Id="rId35" Type="http://schemas.openxmlformats.org/officeDocument/2006/relationships/hyperlink" Target="https://www.cdc.gov/nhsn/pdfs/ps-analysis-resources/aur/ar-validation-508.pdf"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dc.gov/nhsn/pdfs/pscmanual/11pscaurcurrent.pdf" TargetMode="External"/><Relationship Id="rId17" Type="http://schemas.openxmlformats.org/officeDocument/2006/relationships/hyperlink" Target="https://www.cdc.gov/nhsn/pdfs/ps-analysis-resources/aur/au-dataquality-linelist-508.pdf" TargetMode="External"/><Relationship Id="rId25" Type="http://schemas.openxmlformats.org/officeDocument/2006/relationships/footer" Target="footer1.xml"/><Relationship Id="rId33" Type="http://schemas.openxmlformats.org/officeDocument/2006/relationships/hyperlink" Target="https://www.cdc.gov/nhsn/cdaportal/sds/index.html" TargetMode="External"/><Relationship Id="rId38" Type="http://schemas.openxmlformats.org/officeDocument/2006/relationships/hyperlink" Target="https://www.cdc.gov/nhsn/pdfs/ps-analysis-resources/aur/au-dataquality-linelist-508.pdf" TargetMode="External"/><Relationship Id="rId46" Type="http://schemas.openxmlformats.org/officeDocument/2006/relationships/header" Target="header3.xml"/><Relationship Id="rId20" Type="http://schemas.openxmlformats.org/officeDocument/2006/relationships/hyperlink" Target="https://www.cdc.gov/nhsn/pdfs/ps-analysis-resources/aur/AU-QRG-LineList.pdf" TargetMode="External"/><Relationship Id="rId41" Type="http://schemas.openxmlformats.org/officeDocument/2006/relationships/hyperlink" Target="https://www.cdc.gov/nhsn/pdfs/locations/inactivate-location-508.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dj5\OneDrive%20-%20CDC\Brand%20Identity\ppt-docs\VI_Factsheet_Template_V2.dotx" TargetMode="External"/></Relationships>
</file>

<file path=word/theme/theme1.xml><?xml version="1.0" encoding="utf-8"?>
<a:theme xmlns:a="http://schemas.openxmlformats.org/drawingml/2006/main" name="Office Theme">
  <a:themeElements>
    <a:clrScheme name="CDC Main Palette">
      <a:dk1>
        <a:srgbClr val="191919"/>
      </a:dk1>
      <a:lt1>
        <a:sysClr val="window" lastClr="FFFFFF"/>
      </a:lt1>
      <a:dk2>
        <a:srgbClr val="032659"/>
      </a:dk2>
      <a:lt2>
        <a:srgbClr val="B8D4ED"/>
      </a:lt2>
      <a:accent1>
        <a:srgbClr val="0057B7"/>
      </a:accent1>
      <a:accent2>
        <a:srgbClr val="0081A1"/>
      </a:accent2>
      <a:accent3>
        <a:srgbClr val="975722"/>
      </a:accent3>
      <a:accent4>
        <a:srgbClr val="FFB24D"/>
      </a:accent4>
      <a:accent5>
        <a:srgbClr val="47264F"/>
      </a:accent5>
      <a:accent6>
        <a:srgbClr val="CC1B22"/>
      </a:accent6>
      <a:hlink>
        <a:srgbClr val="3382B7"/>
      </a:hlink>
      <a:folHlink>
        <a:srgbClr val="72216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2026-02-24T00:00:00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077af0-6fc0-4200-a300-39d4b8ef3a1a">
      <Terms xmlns="http://schemas.microsoft.com/office/infopath/2007/PartnerControls"/>
    </lcf76f155ced4ddcb4097134ff3c332f>
    <TaxCatchAll xmlns="2c697e34-8d4f-4da9-ba98-6e6ffd29aac3" xsi:nil="true"/>
    <Participation xmlns="e3077af0-6fc0-4200-a300-39d4b8ef3a1a">true</Participation>
    <NHSNUPPhase xmlns="e3077af0-6fc0-4200-a300-39d4b8ef3a1a" xsi:nil="true"/>
    <Person xmlns="e3077af0-6fc0-4200-a300-39d4b8ef3a1a">
      <UserInfo>
        <DisplayName/>
        <AccountId xsi:nil="true"/>
        <AccountType/>
      </UserInfo>
    </Person>
    <Draftstatus xmlns="e3077af0-6fc0-4200-a300-39d4b8ef3a1a" xsi:nil="true"/>
    <Order0 xmlns="e3077af0-6fc0-4200-a300-39d4b8ef3a1a" xsi:nil="true"/>
    <Cat xmlns="e3077af0-6fc0-4200-a300-39d4b8ef3a1a" xsi:nil="true"/>
    <Notesonthisdocument xmlns="e3077af0-6fc0-4200-a300-39d4b8ef3a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D08161F532E1488290EA846EB94613" ma:contentTypeVersion="24" ma:contentTypeDescription="Create a new document." ma:contentTypeScope="" ma:versionID="1578076e428f2ae0501fdaf2b93f5a4e">
  <xsd:schema xmlns:xsd="http://www.w3.org/2001/XMLSchema" xmlns:xs="http://www.w3.org/2001/XMLSchema" xmlns:p="http://schemas.microsoft.com/office/2006/metadata/properties" xmlns:ns2="e3077af0-6fc0-4200-a300-39d4b8ef3a1a" xmlns:ns3="2c697e34-8d4f-4da9-ba98-6e6ffd29aac3" targetNamespace="http://schemas.microsoft.com/office/2006/metadata/properties" ma:root="true" ma:fieldsID="aeef8d1c3d8db41ce25c727c3a6f0762" ns2:_="" ns3:_="">
    <xsd:import namespace="e3077af0-6fc0-4200-a300-39d4b8ef3a1a"/>
    <xsd:import namespace="2c697e34-8d4f-4da9-ba98-6e6ffd29aa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Participation" minOccurs="0"/>
                <xsd:element ref="ns2:Cat" minOccurs="0"/>
                <xsd:element ref="ns2:NHSNUPPhase" minOccurs="0"/>
                <xsd:element ref="ns2:Order0" minOccurs="0"/>
                <xsd:element ref="ns2:MediaServiceSearchProperties" minOccurs="0"/>
                <xsd:element ref="ns2:Draftstatus" minOccurs="0"/>
                <xsd:element ref="ns2:Person" minOccurs="0"/>
                <xsd:element ref="ns2:Notesonthisdocu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77af0-6fc0-4200-a300-39d4b8ef3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Participation" ma:index="22" nillable="true" ma:displayName="Participation" ma:default="1" ma:format="Dropdown" ma:internalName="Participation">
      <xsd:simpleType>
        <xsd:restriction base="dms:Boolean"/>
      </xsd:simpleType>
    </xsd:element>
    <xsd:element name="Cat" ma:index="23" nillable="true" ma:displayName="Cat" ma:format="Dropdown" ma:internalName="Cat">
      <xsd:simpleType>
        <xsd:restriction base="dms:Choice">
          <xsd:enumeration value="Checklist"/>
          <xsd:enumeration value="Templates"/>
          <xsd:enumeration value="Resources"/>
        </xsd:restriction>
      </xsd:simpleType>
    </xsd:element>
    <xsd:element name="NHSNUPPhase" ma:index="24" nillable="true" ma:displayName="NHSN UP Phase" ma:format="Dropdown" ma:internalName="NHSNUPPhase">
      <xsd:simpleType>
        <xsd:restriction base="dms:Choice">
          <xsd:enumeration value="Initiation"/>
          <xsd:enumeration value="Protocol"/>
          <xsd:enumeration value="CQL"/>
          <xsd:enumeration value="FHIR Table Development"/>
          <xsd:enumeration value="Requirements Gathering"/>
          <xsd:enumeration value="JAVA QA Development"/>
          <xsd:enumeration value="FIHR dQM Instructions"/>
          <xsd:enumeration value="CoLab Testing"/>
          <xsd:enumeration value="SAS Development A&amp;R"/>
          <xsd:enumeration value="Validation of FHIR Bundle"/>
          <xsd:enumeration value="Training &amp; Education"/>
          <xsd:enumeration value="Maintenance"/>
          <xsd:enumeration value="TBA.IG"/>
          <xsd:enumeration value="N/A"/>
        </xsd:restriction>
      </xsd:simpleType>
    </xsd:element>
    <xsd:element name="Order0" ma:index="25" nillable="true" ma:displayName="Order" ma:format="Dropdown" ma:indexed="true" ma:internalName="Order0"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raftstatus" ma:index="27" nillable="true" ma:displayName="Draft status" ma:format="Dropdown" ma:internalName="Draftstatus">
      <xsd:simpleType>
        <xsd:restriction base="dms:Choice">
          <xsd:enumeration value="Not started"/>
          <xsd:enumeration value="In process"/>
          <xsd:enumeration value="Complete"/>
        </xsd:restriction>
      </xsd:simpleType>
    </xsd:element>
    <xsd:element name="Person" ma:index="28" nillable="true" ma:displayName="Person" ma:description="This column identifies the person associated with this file. "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onthisdocument" ma:index="29" nillable="true" ma:displayName="Notes on this document" ma:description="start on Medication" ma:format="Dropdown" ma:internalName="Notesonthisdocument">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697e34-8d4f-4da9-ba98-6e6ffd29aa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6cce6a7-5965-488d-af2c-96d66f1be189}" ma:internalName="TaxCatchAll" ma:showField="CatchAllData" ma:web="2c697e34-8d4f-4da9-ba98-6e6ffd29a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F2C98A-9A92-4717-BD48-E2562531C25B}">
  <ds:schemaRefs>
    <ds:schemaRef ds:uri="http://schemas.microsoft.com/office/2006/metadata/properties"/>
    <ds:schemaRef ds:uri="http://schemas.microsoft.com/office/infopath/2007/PartnerControls"/>
    <ds:schemaRef ds:uri="e3077af0-6fc0-4200-a300-39d4b8ef3a1a"/>
    <ds:schemaRef ds:uri="2c697e34-8d4f-4da9-ba98-6e6ffd29aac3"/>
  </ds:schemaRefs>
</ds:datastoreItem>
</file>

<file path=customXml/itemProps3.xml><?xml version="1.0" encoding="utf-8"?>
<ds:datastoreItem xmlns:ds="http://schemas.openxmlformats.org/officeDocument/2006/customXml" ds:itemID="{AEEC70FF-61F7-4BE2-83A9-A5834E251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77af0-6fc0-4200-a300-39d4b8ef3a1a"/>
    <ds:schemaRef ds:uri="2c697e34-8d4f-4da9-ba98-6e6ffd29a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84FBB9-39B7-41BB-ACCA-1F64FDFB0F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VI_Factsheet_Template_V2.dotx</Template>
  <TotalTime>1</TotalTime>
  <Pages>18</Pages>
  <Words>7063</Words>
  <Characters>39484</Characters>
  <Application>Microsoft Office Word</Application>
  <DocSecurity>0</DocSecurity>
  <Lines>1128</Lines>
  <Paragraphs>394</Paragraphs>
  <ScaleCrop>false</ScaleCrop>
  <HeadingPairs>
    <vt:vector size="2" baseType="variant">
      <vt:variant>
        <vt:lpstr>Title</vt:lpstr>
      </vt:variant>
      <vt:variant>
        <vt:i4>1</vt:i4>
      </vt:variant>
    </vt:vector>
  </HeadingPairs>
  <TitlesOfParts>
    <vt:vector size="1" baseType="lpstr">
      <vt:lpstr>Antimicrobial Resistant Organisms Line List</vt:lpstr>
    </vt:vector>
  </TitlesOfParts>
  <Manager>CDC</Manager>
  <Company>Centers for Disease Control and Prevention</Company>
  <LinksUpToDate>false</LinksUpToDate>
  <CharactersWithSpaces>46153</CharactersWithSpaces>
  <SharedDoc>false</SharedDoc>
  <HLinks>
    <vt:vector size="216" baseType="variant">
      <vt:variant>
        <vt:i4>7602236</vt:i4>
      </vt:variant>
      <vt:variant>
        <vt:i4>105</vt:i4>
      </vt:variant>
      <vt:variant>
        <vt:i4>0</vt:i4>
      </vt:variant>
      <vt:variant>
        <vt:i4>5</vt:i4>
      </vt:variant>
      <vt:variant>
        <vt:lpwstr>https://www.cdc.gov/nhsn/pdfs/ps-analysis-resources/aur/au-dataquality-linelist-508.pdf</vt:lpwstr>
      </vt:variant>
      <vt:variant>
        <vt:lpwstr/>
      </vt:variant>
      <vt:variant>
        <vt:i4>5177422</vt:i4>
      </vt:variant>
      <vt:variant>
        <vt:i4>102</vt:i4>
      </vt:variant>
      <vt:variant>
        <vt:i4>0</vt:i4>
      </vt:variant>
      <vt:variant>
        <vt:i4>5</vt:i4>
      </vt:variant>
      <vt:variant>
        <vt:lpwstr>https://www.cdc.gov/nhsn/pdfs/ps-analysis-resources/howtomodifyreport.pdf</vt:lpwstr>
      </vt:variant>
      <vt:variant>
        <vt:lpwstr/>
      </vt:variant>
      <vt:variant>
        <vt:i4>1179652</vt:i4>
      </vt:variant>
      <vt:variant>
        <vt:i4>99</vt:i4>
      </vt:variant>
      <vt:variant>
        <vt:i4>0</vt:i4>
      </vt:variant>
      <vt:variant>
        <vt:i4>5</vt:i4>
      </vt:variant>
      <vt:variant>
        <vt:lpwstr>https://www.cdc.gov/nhsn/pdfs/ps-analysis-resources/aur/ar-qrg-denom-linelist-508.pdf</vt:lpwstr>
      </vt:variant>
      <vt:variant>
        <vt:lpwstr/>
      </vt:variant>
      <vt:variant>
        <vt:i4>7274542</vt:i4>
      </vt:variant>
      <vt:variant>
        <vt:i4>96</vt:i4>
      </vt:variant>
      <vt:variant>
        <vt:i4>0</vt:i4>
      </vt:variant>
      <vt:variant>
        <vt:i4>5</vt:i4>
      </vt:variant>
      <vt:variant>
        <vt:lpwstr>https://www.cdc.gov/nhsn/pdfs/ps-analysis-resources/aur/AU-QRG-LineList.pdf</vt:lpwstr>
      </vt:variant>
      <vt:variant>
        <vt:lpwstr/>
      </vt:variant>
      <vt:variant>
        <vt:i4>1769566</vt:i4>
      </vt:variant>
      <vt:variant>
        <vt:i4>93</vt:i4>
      </vt:variant>
      <vt:variant>
        <vt:i4>0</vt:i4>
      </vt:variant>
      <vt:variant>
        <vt:i4>5</vt:i4>
      </vt:variant>
      <vt:variant>
        <vt:lpwstr>https://www.cdc.gov/nhsn/pdfs/ps-analysis-resources/generatedatasets-psc-508.pdf</vt:lpwstr>
      </vt:variant>
      <vt:variant>
        <vt:lpwstr/>
      </vt:variant>
      <vt:variant>
        <vt:i4>7864372</vt:i4>
      </vt:variant>
      <vt:variant>
        <vt:i4>90</vt:i4>
      </vt:variant>
      <vt:variant>
        <vt:i4>0</vt:i4>
      </vt:variant>
      <vt:variant>
        <vt:i4>5</vt:i4>
      </vt:variant>
      <vt:variant>
        <vt:lpwstr>https://www.cdc.gov/nhsn/pdfs/locations/inactivate-location-508.pdf</vt:lpwstr>
      </vt:variant>
      <vt:variant>
        <vt:lpwstr/>
      </vt:variant>
      <vt:variant>
        <vt:i4>1114174</vt:i4>
      </vt:variant>
      <vt:variant>
        <vt:i4>87</vt:i4>
      </vt:variant>
      <vt:variant>
        <vt:i4>0</vt:i4>
      </vt:variant>
      <vt:variant>
        <vt:i4>5</vt:i4>
      </vt:variant>
      <vt:variant>
        <vt:lpwstr>https://www.cdc.gov/nhsn/pdfs/pscmanual/15locationsdescriptions_current.pdf</vt:lpwstr>
      </vt:variant>
      <vt:variant>
        <vt:lpwstr/>
      </vt:variant>
      <vt:variant>
        <vt:i4>1769475</vt:i4>
      </vt:variant>
      <vt:variant>
        <vt:i4>84</vt:i4>
      </vt:variant>
      <vt:variant>
        <vt:i4>0</vt:i4>
      </vt:variant>
      <vt:variant>
        <vt:i4>5</vt:i4>
      </vt:variant>
      <vt:variant>
        <vt:lpwstr>https://www.cdc.gov/nhsn/pdfs/ps-analysis-resources/aur/ar-validation-508.pdf</vt:lpwstr>
      </vt:variant>
      <vt:variant>
        <vt:lpwstr/>
      </vt:variant>
      <vt:variant>
        <vt:i4>5374020</vt:i4>
      </vt:variant>
      <vt:variant>
        <vt:i4>81</vt:i4>
      </vt:variant>
      <vt:variant>
        <vt:i4>0</vt:i4>
      </vt:variant>
      <vt:variant>
        <vt:i4>5</vt:i4>
      </vt:variant>
      <vt:variant>
        <vt:lpwstr>https://www.cdc.gov/nhsn/pdfs/ps-analysis-resources/aur/annual-au-data-validation-508.pdf</vt:lpwstr>
      </vt:variant>
      <vt:variant>
        <vt:lpwstr/>
      </vt:variant>
      <vt:variant>
        <vt:i4>4259921</vt:i4>
      </vt:variant>
      <vt:variant>
        <vt:i4>78</vt:i4>
      </vt:variant>
      <vt:variant>
        <vt:i4>0</vt:i4>
      </vt:variant>
      <vt:variant>
        <vt:i4>5</vt:i4>
      </vt:variant>
      <vt:variant>
        <vt:lpwstr>https://www.cdc.gov/nhsn/cdaportal/sds/index.html</vt:lpwstr>
      </vt:variant>
      <vt:variant>
        <vt:lpwstr/>
      </vt:variant>
      <vt:variant>
        <vt:i4>3211320</vt:i4>
      </vt:variant>
      <vt:variant>
        <vt:i4>75</vt:i4>
      </vt:variant>
      <vt:variant>
        <vt:i4>0</vt:i4>
      </vt:variant>
      <vt:variant>
        <vt:i4>5</vt:i4>
      </vt:variant>
      <vt:variant>
        <vt:lpwstr>https://www.cdc.gov/nhsn/pdfs/pscmanual/11pscaurcurrent.pdf</vt:lpwstr>
      </vt:variant>
      <vt:variant>
        <vt:lpwstr/>
      </vt:variant>
      <vt:variant>
        <vt:i4>1179652</vt:i4>
      </vt:variant>
      <vt:variant>
        <vt:i4>72</vt:i4>
      </vt:variant>
      <vt:variant>
        <vt:i4>0</vt:i4>
      </vt:variant>
      <vt:variant>
        <vt:i4>5</vt:i4>
      </vt:variant>
      <vt:variant>
        <vt:lpwstr>https://www.cdc.gov/nhsn/pdfs/ps-analysis-resources/aur/ar-qrg-denom-linelist-508.pdf</vt:lpwstr>
      </vt:variant>
      <vt:variant>
        <vt:lpwstr/>
      </vt:variant>
      <vt:variant>
        <vt:i4>3211320</vt:i4>
      </vt:variant>
      <vt:variant>
        <vt:i4>69</vt:i4>
      </vt:variant>
      <vt:variant>
        <vt:i4>0</vt:i4>
      </vt:variant>
      <vt:variant>
        <vt:i4>5</vt:i4>
      </vt:variant>
      <vt:variant>
        <vt:lpwstr>https://www.cdc.gov/nhsn/pdfs/pscmanual/11pscaurcurrent.pdf</vt:lpwstr>
      </vt:variant>
      <vt:variant>
        <vt:lpwstr/>
      </vt:variant>
      <vt:variant>
        <vt:i4>3211320</vt:i4>
      </vt:variant>
      <vt:variant>
        <vt:i4>66</vt:i4>
      </vt:variant>
      <vt:variant>
        <vt:i4>0</vt:i4>
      </vt:variant>
      <vt:variant>
        <vt:i4>5</vt:i4>
      </vt:variant>
      <vt:variant>
        <vt:lpwstr>https://www.cdc.gov/nhsn/pdfs/pscmanual/11pscaurcurrent.pdf</vt:lpwstr>
      </vt:variant>
      <vt:variant>
        <vt:lpwstr/>
      </vt:variant>
      <vt:variant>
        <vt:i4>7274542</vt:i4>
      </vt:variant>
      <vt:variant>
        <vt:i4>63</vt:i4>
      </vt:variant>
      <vt:variant>
        <vt:i4>0</vt:i4>
      </vt:variant>
      <vt:variant>
        <vt:i4>5</vt:i4>
      </vt:variant>
      <vt:variant>
        <vt:lpwstr>https://www.cdc.gov/nhsn/pdfs/ps-analysis-resources/aur/au-qrg-linelist.pdf</vt:lpwstr>
      </vt:variant>
      <vt:variant>
        <vt:lpwstr/>
      </vt:variant>
      <vt:variant>
        <vt:i4>1769566</vt:i4>
      </vt:variant>
      <vt:variant>
        <vt:i4>60</vt:i4>
      </vt:variant>
      <vt:variant>
        <vt:i4>0</vt:i4>
      </vt:variant>
      <vt:variant>
        <vt:i4>5</vt:i4>
      </vt:variant>
      <vt:variant>
        <vt:lpwstr>https://www.cdc.gov/nhsn/pdfs/ps-analysis-resources/generatedatasets-psc-508.pdf</vt:lpwstr>
      </vt:variant>
      <vt:variant>
        <vt:lpwstr/>
      </vt:variant>
      <vt:variant>
        <vt:i4>4259921</vt:i4>
      </vt:variant>
      <vt:variant>
        <vt:i4>57</vt:i4>
      </vt:variant>
      <vt:variant>
        <vt:i4>0</vt:i4>
      </vt:variant>
      <vt:variant>
        <vt:i4>5</vt:i4>
      </vt:variant>
      <vt:variant>
        <vt:lpwstr>https://www.cdc.gov/nhsn/cdaportal/sds/index.html</vt:lpwstr>
      </vt:variant>
      <vt:variant>
        <vt:lpwstr/>
      </vt:variant>
      <vt:variant>
        <vt:i4>7864372</vt:i4>
      </vt:variant>
      <vt:variant>
        <vt:i4>54</vt:i4>
      </vt:variant>
      <vt:variant>
        <vt:i4>0</vt:i4>
      </vt:variant>
      <vt:variant>
        <vt:i4>5</vt:i4>
      </vt:variant>
      <vt:variant>
        <vt:lpwstr>https://www.cdc.gov/nhsn/pdfs/locations/inactivate-location-508.pdf</vt:lpwstr>
      </vt:variant>
      <vt:variant>
        <vt:lpwstr/>
      </vt:variant>
      <vt:variant>
        <vt:i4>1114174</vt:i4>
      </vt:variant>
      <vt:variant>
        <vt:i4>51</vt:i4>
      </vt:variant>
      <vt:variant>
        <vt:i4>0</vt:i4>
      </vt:variant>
      <vt:variant>
        <vt:i4>5</vt:i4>
      </vt:variant>
      <vt:variant>
        <vt:lpwstr>https://www.cdc.gov/nhsn/pdfs/pscmanual/15locationsdescriptions_current.pdf</vt:lpwstr>
      </vt:variant>
      <vt:variant>
        <vt:lpwstr/>
      </vt:variant>
      <vt:variant>
        <vt:i4>7274542</vt:i4>
      </vt:variant>
      <vt:variant>
        <vt:i4>48</vt:i4>
      </vt:variant>
      <vt:variant>
        <vt:i4>0</vt:i4>
      </vt:variant>
      <vt:variant>
        <vt:i4>5</vt:i4>
      </vt:variant>
      <vt:variant>
        <vt:lpwstr>https://www.cdc.gov/nhsn/pdfs/ps-analysis-resources/aur/AU-QRG-LineList.pdf</vt:lpwstr>
      </vt:variant>
      <vt:variant>
        <vt:lpwstr/>
      </vt:variant>
      <vt:variant>
        <vt:i4>7274542</vt:i4>
      </vt:variant>
      <vt:variant>
        <vt:i4>45</vt:i4>
      </vt:variant>
      <vt:variant>
        <vt:i4>0</vt:i4>
      </vt:variant>
      <vt:variant>
        <vt:i4>5</vt:i4>
      </vt:variant>
      <vt:variant>
        <vt:lpwstr>https://www.cdc.gov/nhsn/pdfs/ps-analysis-resources/aur/AU-QRG-LineList.pdf</vt:lpwstr>
      </vt:variant>
      <vt:variant>
        <vt:lpwstr/>
      </vt:variant>
      <vt:variant>
        <vt:i4>7274542</vt:i4>
      </vt:variant>
      <vt:variant>
        <vt:i4>42</vt:i4>
      </vt:variant>
      <vt:variant>
        <vt:i4>0</vt:i4>
      </vt:variant>
      <vt:variant>
        <vt:i4>5</vt:i4>
      </vt:variant>
      <vt:variant>
        <vt:lpwstr>https://www.cdc.gov/nhsn/pdfs/ps-analysis-resources/aur/AU-QRG-LineList.pdf</vt:lpwstr>
      </vt:variant>
      <vt:variant>
        <vt:lpwstr/>
      </vt:variant>
      <vt:variant>
        <vt:i4>7602236</vt:i4>
      </vt:variant>
      <vt:variant>
        <vt:i4>39</vt:i4>
      </vt:variant>
      <vt:variant>
        <vt:i4>0</vt:i4>
      </vt:variant>
      <vt:variant>
        <vt:i4>5</vt:i4>
      </vt:variant>
      <vt:variant>
        <vt:lpwstr>https://www.cdc.gov/nhsn/pdfs/ps-analysis-resources/aur/au-dataquality-linelist-508.pdf</vt:lpwstr>
      </vt:variant>
      <vt:variant>
        <vt:lpwstr/>
      </vt:variant>
      <vt:variant>
        <vt:i4>7602236</vt:i4>
      </vt:variant>
      <vt:variant>
        <vt:i4>36</vt:i4>
      </vt:variant>
      <vt:variant>
        <vt:i4>0</vt:i4>
      </vt:variant>
      <vt:variant>
        <vt:i4>5</vt:i4>
      </vt:variant>
      <vt:variant>
        <vt:lpwstr>https://www.cdc.gov/nhsn/pdfs/ps-analysis-resources/aur/au-dataquality-linelist-508.pdf</vt:lpwstr>
      </vt:variant>
      <vt:variant>
        <vt:lpwstr/>
      </vt:variant>
      <vt:variant>
        <vt:i4>5177422</vt:i4>
      </vt:variant>
      <vt:variant>
        <vt:i4>33</vt:i4>
      </vt:variant>
      <vt:variant>
        <vt:i4>0</vt:i4>
      </vt:variant>
      <vt:variant>
        <vt:i4>5</vt:i4>
      </vt:variant>
      <vt:variant>
        <vt:lpwstr>https://www.cdc.gov/nhsn/pdfs/ps-analysis-resources/howtomodifyreport.pdf</vt:lpwstr>
      </vt:variant>
      <vt:variant>
        <vt:lpwstr/>
      </vt:variant>
      <vt:variant>
        <vt:i4>1769566</vt:i4>
      </vt:variant>
      <vt:variant>
        <vt:i4>30</vt:i4>
      </vt:variant>
      <vt:variant>
        <vt:i4>0</vt:i4>
      </vt:variant>
      <vt:variant>
        <vt:i4>5</vt:i4>
      </vt:variant>
      <vt:variant>
        <vt:lpwstr>https://www.cdc.gov/nhsn/pdfs/ps-analysis-resources/generatedatasets-psc-508.pdf</vt:lpwstr>
      </vt:variant>
      <vt:variant>
        <vt:lpwstr/>
      </vt:variant>
      <vt:variant>
        <vt:i4>2687060</vt:i4>
      </vt:variant>
      <vt:variant>
        <vt:i4>27</vt:i4>
      </vt:variant>
      <vt:variant>
        <vt:i4>0</vt:i4>
      </vt:variant>
      <vt:variant>
        <vt:i4>5</vt:i4>
      </vt:variant>
      <vt:variant>
        <vt:lpwstr/>
      </vt:variant>
      <vt:variant>
        <vt:lpwstr>_Appendix:_Links_to</vt:lpwstr>
      </vt:variant>
      <vt:variant>
        <vt:i4>5898361</vt:i4>
      </vt:variant>
      <vt:variant>
        <vt:i4>24</vt:i4>
      </vt:variant>
      <vt:variant>
        <vt:i4>0</vt:i4>
      </vt:variant>
      <vt:variant>
        <vt:i4>5</vt:i4>
      </vt:variant>
      <vt:variant>
        <vt:lpwstr/>
      </vt:variant>
      <vt:variant>
        <vt:lpwstr>_Compare_AU_and</vt:lpwstr>
      </vt:variant>
      <vt:variant>
        <vt:i4>1114168</vt:i4>
      </vt:variant>
      <vt:variant>
        <vt:i4>21</vt:i4>
      </vt:variant>
      <vt:variant>
        <vt:i4>0</vt:i4>
      </vt:variant>
      <vt:variant>
        <vt:i4>5</vt:i4>
      </vt:variant>
      <vt:variant>
        <vt:lpwstr/>
      </vt:variant>
      <vt:variant>
        <vt:lpwstr>_Confirm_appropriate_use</vt:lpwstr>
      </vt:variant>
      <vt:variant>
        <vt:i4>3801177</vt:i4>
      </vt:variant>
      <vt:variant>
        <vt:i4>18</vt:i4>
      </vt:variant>
      <vt:variant>
        <vt:i4>0</vt:i4>
      </vt:variant>
      <vt:variant>
        <vt:i4>5</vt:i4>
      </vt:variant>
      <vt:variant>
        <vt:lpwstr/>
      </vt:variant>
      <vt:variant>
        <vt:lpwstr>_Review_patient-level_scenarios</vt:lpwstr>
      </vt:variant>
      <vt:variant>
        <vt:i4>5832826</vt:i4>
      </vt:variant>
      <vt:variant>
        <vt:i4>15</vt:i4>
      </vt:variant>
      <vt:variant>
        <vt:i4>0</vt:i4>
      </vt:variant>
      <vt:variant>
        <vt:i4>5</vt:i4>
      </vt:variant>
      <vt:variant>
        <vt:lpwstr/>
      </vt:variant>
      <vt:variant>
        <vt:lpwstr>_Evaluate_drug_specific</vt:lpwstr>
      </vt:variant>
      <vt:variant>
        <vt:i4>1769475</vt:i4>
      </vt:variant>
      <vt:variant>
        <vt:i4>12</vt:i4>
      </vt:variant>
      <vt:variant>
        <vt:i4>0</vt:i4>
      </vt:variant>
      <vt:variant>
        <vt:i4>5</vt:i4>
      </vt:variant>
      <vt:variant>
        <vt:lpwstr>https://www.cdc.gov/nhsn/pdfs/ps-analysis-resources/aur/ar-validation-508.pdf</vt:lpwstr>
      </vt:variant>
      <vt:variant>
        <vt:lpwstr/>
      </vt:variant>
      <vt:variant>
        <vt:i4>5374020</vt:i4>
      </vt:variant>
      <vt:variant>
        <vt:i4>9</vt:i4>
      </vt:variant>
      <vt:variant>
        <vt:i4>0</vt:i4>
      </vt:variant>
      <vt:variant>
        <vt:i4>5</vt:i4>
      </vt:variant>
      <vt:variant>
        <vt:lpwstr>https://www.cdc.gov/nhsn/pdfs/ps-analysis-resources/aur/annual-au-data-validation-508.pdf</vt:lpwstr>
      </vt:variant>
      <vt:variant>
        <vt:lpwstr/>
      </vt:variant>
      <vt:variant>
        <vt:i4>3211320</vt:i4>
      </vt:variant>
      <vt:variant>
        <vt:i4>6</vt:i4>
      </vt:variant>
      <vt:variant>
        <vt:i4>0</vt:i4>
      </vt:variant>
      <vt:variant>
        <vt:i4>5</vt:i4>
      </vt:variant>
      <vt:variant>
        <vt:lpwstr>https://www.cdc.gov/nhsn/pdfs/pscmanual/11pscaurcurrent.pdf</vt:lpwstr>
      </vt:variant>
      <vt:variant>
        <vt:lpwstr/>
      </vt:variant>
      <vt:variant>
        <vt:i4>4259921</vt:i4>
      </vt:variant>
      <vt:variant>
        <vt:i4>3</vt:i4>
      </vt:variant>
      <vt:variant>
        <vt:i4>0</vt:i4>
      </vt:variant>
      <vt:variant>
        <vt:i4>5</vt:i4>
      </vt:variant>
      <vt:variant>
        <vt:lpwstr>https://www.cdc.gov/nhsn/cdaportal/sds/index.html</vt:lpwstr>
      </vt:variant>
      <vt:variant>
        <vt:lpwstr/>
      </vt:variant>
      <vt:variant>
        <vt:i4>3211320</vt:i4>
      </vt:variant>
      <vt:variant>
        <vt:i4>0</vt:i4>
      </vt:variant>
      <vt:variant>
        <vt:i4>0</vt:i4>
      </vt:variant>
      <vt:variant>
        <vt:i4>5</vt:i4>
      </vt:variant>
      <vt:variant>
        <vt:lpwstr>https://www.cdc.gov/nhsn/pdfs/pscmanual/11pscaurcurrent.pdf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Antimicrobial Resistant Organisms Line List</dc:title>
  <dc:subject/>
  <dc:creator>Koslik, Hayley (CDC/NCEZID/DHQP/SB) (CTR)</dc:creator>
  <cp:keywords>NHSN, Antimicrobial Resistance, AR Line List</cp:keywords>
  <dc:description/>
  <cp:lastModifiedBy>Koslik, Hayley (CDC/NCEZID/DHQP/SB) (CTR)</cp:lastModifiedBy>
  <cp:revision>2</cp:revision>
  <cp:lastPrinted>2026-04-01T16:30:00Z</cp:lastPrinted>
  <dcterms:created xsi:type="dcterms:W3CDTF">2026-04-15T14:34:00Z</dcterms:created>
  <dcterms:modified xsi:type="dcterms:W3CDTF">2026-04-15T14:34:00Z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2025-08-20T19:08:01Z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e3dc192d-1b24-41fa-a022-9d2ff7e02c6d</vt:lpwstr>
  </property>
  <property fmtid="{D5CDD505-2E9C-101B-9397-08002B2CF9AE}" pid="8" name="MSIP_Label_8af03ff0-41c5-4c41-b55e-fabb8fae94be_ContentBits">
    <vt:lpwstr>0</vt:lpwstr>
  </property>
  <property fmtid="{D5CDD505-2E9C-101B-9397-08002B2CF9AE}" pid="9" name="MSIP_Label_8af03ff0-41c5-4c41-b55e-fabb8fae94be_Tag">
    <vt:lpwstr>10, 0, 1, 1</vt:lpwstr>
  </property>
  <property fmtid="{D5CDD505-2E9C-101B-9397-08002B2CF9AE}" pid="10" name="ContentTypeId">
    <vt:lpwstr>0x010100B0D08161F532E1488290EA846EB94613</vt:lpwstr>
  </property>
  <property fmtid="{D5CDD505-2E9C-101B-9397-08002B2CF9AE}" pid="11" name="MediaServiceImageTags">
    <vt:lpwstr/>
  </property>
  <property fmtid="{D5CDD505-2E9C-101B-9397-08002B2CF9AE}" pid="12" name="docLang">
    <vt:lpwstr>en</vt:lpwstr>
  </property>
</Properties>
</file>